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黑体" w:eastAsia="方正小标宋简体"/>
          <w:sz w:val="44"/>
          <w:szCs w:val="44"/>
        </w:rPr>
      </w:pPr>
      <w:bookmarkStart w:id="0" w:name="_GoBack"/>
      <w:bookmarkEnd w:id="0"/>
      <w:r>
        <w:rPr>
          <w:rFonts w:hint="eastAsia" w:ascii="方正小标宋简体" w:hAnsi="黑体" w:eastAsia="方正小标宋简体" w:cs="黑体"/>
          <w:sz w:val="44"/>
          <w:szCs w:val="44"/>
        </w:rPr>
        <w:t>行政执法委托协议书</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sz w:val="32"/>
          <w:szCs w:val="32"/>
        </w:rPr>
      </w:pPr>
      <w:r>
        <w:rPr>
          <w:rFonts w:hint="eastAsia" w:ascii="仿宋_GB2312" w:hAnsi="宋体" w:cs="宋体"/>
          <w:sz w:val="32"/>
          <w:szCs w:val="32"/>
        </w:rPr>
        <w:t xml:space="preserve">委托单位： </w:t>
      </w:r>
      <w:r>
        <w:rPr>
          <w:rFonts w:hint="eastAsia" w:ascii="仿宋_GB2312" w:cs="宋体"/>
          <w:kern w:val="0"/>
          <w:sz w:val="32"/>
          <w:szCs w:val="32"/>
        </w:rPr>
        <w:t>长春市应急管理局</w:t>
      </w:r>
      <w:r>
        <w:rPr>
          <w:rFonts w:hint="eastAsia" w:ascii="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仿宋_GB2312" w:eastAsia="仿宋_GB2312"/>
          <w:color w:val="000000"/>
          <w:kern w:val="0"/>
          <w:sz w:val="32"/>
          <w:szCs w:val="32"/>
          <w:lang w:val="en-US" w:eastAsia="zh-CN"/>
        </w:rPr>
      </w:pPr>
      <w:r>
        <w:rPr>
          <w:rFonts w:hint="eastAsia" w:ascii="仿宋_GB2312" w:hAnsi="宋体" w:cs="宋体"/>
          <w:sz w:val="32"/>
          <w:szCs w:val="32"/>
        </w:rPr>
        <w:t>法定代表人：</w:t>
      </w:r>
      <w:r>
        <w:rPr>
          <w:rFonts w:hint="eastAsia" w:ascii="仿宋_GB2312" w:hAnsi="宋体" w:cs="宋体"/>
          <w:sz w:val="32"/>
          <w:szCs w:val="32"/>
          <w:lang w:eastAsia="zh-CN"/>
        </w:rPr>
        <w:t>刘岱峰</w:t>
      </w:r>
    </w:p>
    <w:p>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仿宋_GB2312"/>
          <w:color w:val="000000"/>
          <w:kern w:val="0"/>
          <w:sz w:val="32"/>
          <w:szCs w:val="32"/>
        </w:rPr>
      </w:pPr>
      <w:r>
        <w:rPr>
          <w:rFonts w:hint="eastAsia" w:ascii="仿宋_GB2312" w:hAnsi="宋体" w:cs="宋体"/>
          <w:sz w:val="32"/>
          <w:szCs w:val="32"/>
        </w:rPr>
        <w:t>受委托单位：</w:t>
      </w:r>
      <w:r>
        <w:rPr>
          <w:rFonts w:hint="eastAsia" w:ascii="仿宋_GB2312" w:cs="宋体"/>
          <w:kern w:val="0"/>
          <w:sz w:val="32"/>
          <w:szCs w:val="32"/>
        </w:rPr>
        <w:t>长春市地震局</w:t>
      </w:r>
    </w:p>
    <w:p>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仿宋_GB2312" w:eastAsia="仿宋_GB2312" w:cs="宋体"/>
          <w:kern w:val="0"/>
          <w:sz w:val="32"/>
          <w:szCs w:val="32"/>
          <w:lang w:eastAsia="zh-CN"/>
        </w:rPr>
      </w:pPr>
      <w:r>
        <w:rPr>
          <w:rFonts w:hint="eastAsia" w:ascii="仿宋_GB2312" w:hAnsi="宋体" w:cs="宋体"/>
          <w:sz w:val="32"/>
          <w:szCs w:val="32"/>
        </w:rPr>
        <w:t>法定代表人：</w:t>
      </w:r>
      <w:r>
        <w:rPr>
          <w:rFonts w:hint="eastAsia" w:ascii="仿宋_GB2312" w:cs="宋体"/>
          <w:kern w:val="0"/>
          <w:sz w:val="32"/>
          <w:szCs w:val="32"/>
          <w:lang w:eastAsia="zh-CN"/>
        </w:rPr>
        <w:t>郭义波</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cs="宋体"/>
          <w:sz w:val="32"/>
          <w:szCs w:val="32"/>
        </w:rPr>
      </w:pPr>
      <w:r>
        <w:rPr>
          <w:rFonts w:hint="eastAsia" w:ascii="仿宋_GB2312" w:hAnsi="宋体" w:cs="宋体"/>
          <w:sz w:val="32"/>
          <w:szCs w:val="32"/>
        </w:rPr>
        <w:t>为进一步加强全市地震行政执法工作，依法确立行政执法委托机关与受委托机关的权利和义务，依据《中华人民共和国行政处罚法》</w:t>
      </w:r>
      <w:r>
        <w:rPr>
          <w:rFonts w:hint="eastAsia" w:ascii="仿宋_GB2312" w:cs="宋体"/>
          <w:kern w:val="0"/>
          <w:sz w:val="32"/>
          <w:szCs w:val="32"/>
        </w:rPr>
        <w:t>《中华人民共和国防震减灾法》</w:t>
      </w:r>
      <w:r>
        <w:rPr>
          <w:rFonts w:hint="eastAsia" w:ascii="仿宋_GB2312" w:hAnsi="宋体" w:cs="宋体"/>
          <w:sz w:val="32"/>
          <w:szCs w:val="32"/>
        </w:rPr>
        <w:t>《地震监测管理条例》《吉林省防震减灾条例》《地震行政执法规定》等法律法规的规定，</w:t>
      </w:r>
      <w:r>
        <w:rPr>
          <w:rFonts w:hint="eastAsia" w:ascii="仿宋_GB2312" w:cs="宋体"/>
          <w:kern w:val="0"/>
          <w:sz w:val="32"/>
          <w:szCs w:val="32"/>
        </w:rPr>
        <w:t>长春市应急管理局</w:t>
      </w:r>
      <w:r>
        <w:rPr>
          <w:rFonts w:hint="eastAsia" w:ascii="仿宋_GB2312" w:hAnsi="宋体" w:cs="宋体"/>
          <w:sz w:val="32"/>
          <w:szCs w:val="32"/>
        </w:rPr>
        <w:t>委托</w:t>
      </w:r>
      <w:r>
        <w:rPr>
          <w:rFonts w:hint="eastAsia" w:ascii="仿宋_GB2312" w:cs="宋体"/>
          <w:kern w:val="0"/>
          <w:sz w:val="32"/>
          <w:szCs w:val="32"/>
        </w:rPr>
        <w:t>长春市地震局</w:t>
      </w:r>
      <w:r>
        <w:rPr>
          <w:rFonts w:hint="eastAsia" w:ascii="仿宋_GB2312" w:hAnsi="宋体" w:cs="宋体"/>
          <w:sz w:val="32"/>
          <w:szCs w:val="32"/>
        </w:rPr>
        <w:t>按下列要求行使行政执法权，并达成如下协议。</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宋体"/>
          <w:bCs/>
          <w:sz w:val="32"/>
          <w:szCs w:val="32"/>
        </w:rPr>
      </w:pPr>
      <w:r>
        <w:rPr>
          <w:rFonts w:hint="eastAsia" w:ascii="黑体" w:hAnsi="黑体" w:eastAsia="黑体" w:cs="宋体"/>
          <w:bCs/>
          <w:sz w:val="32"/>
          <w:szCs w:val="32"/>
          <w:lang w:eastAsia="zh-CN"/>
        </w:rPr>
        <w:t>一</w:t>
      </w:r>
      <w:r>
        <w:rPr>
          <w:rFonts w:hint="eastAsia" w:ascii="黑体" w:hAnsi="黑体" w:eastAsia="黑体" w:cs="宋体"/>
          <w:bCs/>
          <w:sz w:val="32"/>
          <w:szCs w:val="32"/>
        </w:rPr>
        <w:t>、</w:t>
      </w:r>
      <w:r>
        <w:rPr>
          <w:rFonts w:hint="eastAsia" w:ascii="黑体" w:hAnsi="黑体" w:eastAsia="黑体" w:cs="宋体"/>
          <w:bCs/>
          <w:sz w:val="32"/>
          <w:szCs w:val="32"/>
          <w:lang w:val="en-US" w:eastAsia="zh-CN"/>
        </w:rPr>
        <w:t>委托执法依据</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lang w:val="en-US" w:eastAsia="zh-CN"/>
        </w:rPr>
        <w:t>1.</w:t>
      </w:r>
      <w:r>
        <w:rPr>
          <w:rFonts w:hint="eastAsia" w:ascii="仿宋" w:hAnsi="仿宋" w:eastAsia="仿宋" w:cs="仿宋"/>
          <w:sz w:val="32"/>
          <w:szCs w:val="32"/>
          <w:shd w:val="clear" w:color="auto" w:fill="FFFFFF"/>
        </w:rPr>
        <w:t>《中华人民共和国防震减灾法》</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lang w:val="en-US" w:eastAsia="zh-CN"/>
        </w:rPr>
        <w:t>2.</w:t>
      </w:r>
      <w:r>
        <w:rPr>
          <w:rFonts w:hint="eastAsia" w:ascii="仿宋" w:hAnsi="仿宋" w:eastAsia="仿宋" w:cs="仿宋"/>
          <w:sz w:val="32"/>
          <w:szCs w:val="32"/>
          <w:shd w:val="clear" w:color="auto" w:fill="FFFFFF"/>
        </w:rPr>
        <w:t>《地震监测管理条例》</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lang w:val="en-US" w:eastAsia="zh-CN"/>
        </w:rPr>
        <w:t>3.</w:t>
      </w:r>
      <w:r>
        <w:rPr>
          <w:rFonts w:hint="eastAsia" w:ascii="仿宋" w:hAnsi="仿宋" w:eastAsia="仿宋" w:cs="仿宋"/>
          <w:sz w:val="32"/>
          <w:szCs w:val="32"/>
          <w:shd w:val="clear" w:color="auto" w:fill="FFFFFF"/>
        </w:rPr>
        <w:t>《吉林省防震减灾条例》</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宋体"/>
          <w:bCs/>
          <w:sz w:val="32"/>
          <w:szCs w:val="32"/>
          <w:lang w:eastAsia="zh-CN"/>
        </w:rPr>
      </w:pPr>
      <w:r>
        <w:rPr>
          <w:rFonts w:hint="eastAsia" w:ascii="仿宋" w:hAnsi="仿宋" w:eastAsia="仿宋" w:cs="仿宋"/>
          <w:sz w:val="32"/>
          <w:szCs w:val="32"/>
          <w:shd w:val="clear" w:color="auto" w:fill="FFFFFF"/>
          <w:lang w:val="en-US" w:eastAsia="zh-CN"/>
        </w:rPr>
        <w:t>4.</w:t>
      </w:r>
      <w:r>
        <w:rPr>
          <w:rFonts w:hint="eastAsia" w:ascii="仿宋" w:hAnsi="仿宋" w:eastAsia="仿宋" w:cs="仿宋"/>
          <w:sz w:val="32"/>
          <w:szCs w:val="32"/>
          <w:shd w:val="clear" w:color="auto" w:fill="FFFFFF"/>
        </w:rPr>
        <w:t>《地震行政执法规定》</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宋体"/>
          <w:bCs/>
          <w:sz w:val="32"/>
          <w:szCs w:val="32"/>
        </w:rPr>
      </w:pPr>
      <w:r>
        <w:rPr>
          <w:rFonts w:hint="eastAsia" w:ascii="黑体" w:hAnsi="黑体" w:eastAsia="黑体" w:cs="宋体"/>
          <w:bCs/>
          <w:sz w:val="32"/>
          <w:szCs w:val="32"/>
          <w:lang w:eastAsia="zh-CN"/>
        </w:rPr>
        <w:t>二</w:t>
      </w:r>
      <w:r>
        <w:rPr>
          <w:rFonts w:hint="eastAsia" w:ascii="黑体" w:hAnsi="黑体" w:eastAsia="黑体" w:cs="宋体"/>
          <w:bCs/>
          <w:sz w:val="32"/>
          <w:szCs w:val="32"/>
        </w:rPr>
        <w:t>、委托执法事项</w:t>
      </w:r>
      <w:r>
        <w:rPr>
          <w:rFonts w:hint="eastAsia" w:ascii="黑体" w:hAnsi="黑体" w:eastAsia="黑体" w:cs="宋体"/>
          <w:bCs/>
          <w:sz w:val="32"/>
          <w:szCs w:val="32"/>
          <w:lang w:val="en-US" w:eastAsia="zh-CN"/>
        </w:rPr>
        <w:t>及权限</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bCs/>
          <w:sz w:val="32"/>
          <w:szCs w:val="32"/>
          <w:shd w:val="clear" w:color="auto" w:fill="FFFFFF"/>
        </w:rPr>
      </w:pPr>
      <w:r>
        <w:rPr>
          <w:rFonts w:hint="eastAsia" w:ascii="仿宋_GB2312" w:hAnsi="宋体" w:cs="宋体"/>
          <w:sz w:val="32"/>
          <w:szCs w:val="32"/>
          <w:lang w:val="en-US" w:eastAsia="zh-CN"/>
        </w:rPr>
        <w:t>受托单位长春市地震局在委托执法权限范围内以委托单位长春市应急管理局的名义行使下列职权：</w:t>
      </w:r>
    </w:p>
    <w:p>
      <w:pPr>
        <w:pStyle w:val="7"/>
        <w:keepNext w:val="0"/>
        <w:keepLines w:val="0"/>
        <w:pageBreakBefore w:val="0"/>
        <w:widowControl/>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sz w:val="32"/>
          <w:szCs w:val="32"/>
          <w:shd w:val="clear" w:color="auto" w:fill="FFFFFF"/>
        </w:rPr>
      </w:pPr>
      <w:r>
        <w:rPr>
          <w:rFonts w:hint="eastAsia" w:ascii="仿宋" w:hAnsi="仿宋" w:eastAsia="仿宋" w:cs="仿宋"/>
          <w:b/>
          <w:bCs/>
          <w:sz w:val="32"/>
          <w:szCs w:val="32"/>
          <w:shd w:val="clear" w:color="auto" w:fill="FFFFFF"/>
        </w:rPr>
        <w:t>（一）监督检查权</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lang w:eastAsia="zh-CN"/>
        </w:rPr>
        <w:t>负责</w:t>
      </w:r>
      <w:r>
        <w:rPr>
          <w:rFonts w:hint="eastAsia" w:ascii="仿宋" w:hAnsi="仿宋" w:eastAsia="仿宋" w:cs="仿宋"/>
          <w:sz w:val="32"/>
          <w:szCs w:val="32"/>
          <w:shd w:val="clear" w:color="auto" w:fill="FFFFFF"/>
        </w:rPr>
        <w:t>防震减灾规划和地震应急预案的编制与实施、地震应急避难场所的设置与管理、地震灾害紧急救援队伍的培训、防震减灾知识宣传教育和地震应急救援演练等工作的监督检查。</w:t>
      </w:r>
    </w:p>
    <w:p>
      <w:pPr>
        <w:pStyle w:val="7"/>
        <w:keepNext w:val="0"/>
        <w:keepLines w:val="0"/>
        <w:pageBreakBefore w:val="0"/>
        <w:widowControl/>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sz w:val="32"/>
          <w:szCs w:val="32"/>
          <w:shd w:val="clear" w:color="auto" w:fill="FFFFFF"/>
        </w:rPr>
      </w:pPr>
      <w:r>
        <w:rPr>
          <w:rFonts w:hint="eastAsia" w:ascii="仿宋" w:hAnsi="仿宋" w:eastAsia="仿宋" w:cs="仿宋"/>
          <w:b/>
          <w:bCs/>
          <w:sz w:val="32"/>
          <w:szCs w:val="32"/>
          <w:shd w:val="clear" w:color="auto" w:fill="FFFFFF"/>
        </w:rPr>
        <w:t>(二)行政处罚权</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rPr>
        <w:t>1.</w:t>
      </w:r>
      <w:r>
        <w:rPr>
          <w:rFonts w:hint="eastAsia" w:ascii="仿宋" w:hAnsi="仿宋" w:eastAsia="仿宋" w:cs="仿宋"/>
          <w:sz w:val="32"/>
          <w:szCs w:val="32"/>
          <w:shd w:val="clear" w:color="auto" w:fill="FFFFFF"/>
          <w:lang w:eastAsia="zh-CN"/>
        </w:rPr>
        <w:t>负责</w:t>
      </w:r>
      <w:r>
        <w:rPr>
          <w:rFonts w:hint="eastAsia" w:ascii="仿宋" w:hAnsi="仿宋" w:eastAsia="仿宋" w:cs="仿宋"/>
          <w:sz w:val="32"/>
          <w:szCs w:val="32"/>
          <w:shd w:val="clear" w:color="auto" w:fill="FFFFFF"/>
        </w:rPr>
        <w:t>对侵占、毁损、拆除或者擅自移动地震监测设施的，危害地震观测环境的，破坏典型地震遗址、遗迹等行为的处罚。</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rPr>
        <w:t>2.</w:t>
      </w:r>
      <w:r>
        <w:rPr>
          <w:rFonts w:hint="eastAsia" w:ascii="仿宋" w:hAnsi="仿宋" w:eastAsia="仿宋" w:cs="仿宋"/>
          <w:sz w:val="32"/>
          <w:szCs w:val="32"/>
          <w:shd w:val="clear" w:color="auto" w:fill="FFFFFF"/>
          <w:lang w:eastAsia="zh-CN"/>
        </w:rPr>
        <w:t>负责</w:t>
      </w:r>
      <w:r>
        <w:rPr>
          <w:rFonts w:hint="eastAsia" w:ascii="仿宋" w:hAnsi="仿宋" w:eastAsia="仿宋" w:cs="仿宋"/>
          <w:sz w:val="32"/>
          <w:szCs w:val="32"/>
          <w:shd w:val="clear" w:color="auto" w:fill="FFFFFF"/>
        </w:rPr>
        <w:t>对未按照要求增建抗干扰设施或者新建地震监测设施行为的处罚。</w:t>
      </w:r>
    </w:p>
    <w:p>
      <w:pPr>
        <w:pStyle w:val="7"/>
        <w:keepNext w:val="0"/>
        <w:keepLines w:val="0"/>
        <w:pageBreakBefore w:val="0"/>
        <w:widowControl/>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sz w:val="32"/>
          <w:szCs w:val="32"/>
          <w:shd w:val="clear" w:color="auto" w:fill="FFFFFF"/>
        </w:rPr>
      </w:pPr>
      <w:r>
        <w:rPr>
          <w:rFonts w:hint="eastAsia" w:ascii="仿宋" w:hAnsi="仿宋" w:eastAsia="仿宋" w:cs="仿宋"/>
          <w:b/>
          <w:bCs/>
          <w:sz w:val="32"/>
          <w:szCs w:val="32"/>
          <w:shd w:val="clear" w:color="auto" w:fill="FFFFFF"/>
        </w:rPr>
        <w:t>（三）行政确认</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rPr>
        <w:t>1.</w:t>
      </w:r>
      <w:r>
        <w:rPr>
          <w:rFonts w:hint="eastAsia" w:ascii="仿宋" w:hAnsi="仿宋" w:eastAsia="仿宋" w:cs="仿宋"/>
          <w:sz w:val="32"/>
          <w:szCs w:val="32"/>
          <w:shd w:val="clear" w:color="auto" w:fill="FFFFFF"/>
          <w:lang w:eastAsia="zh-CN"/>
        </w:rPr>
        <w:t>负责</w:t>
      </w:r>
      <w:r>
        <w:rPr>
          <w:rFonts w:hint="eastAsia" w:ascii="仿宋" w:hAnsi="仿宋" w:eastAsia="仿宋" w:cs="仿宋"/>
          <w:sz w:val="32"/>
          <w:szCs w:val="32"/>
          <w:shd w:val="clear" w:color="auto" w:fill="FFFFFF"/>
        </w:rPr>
        <w:t>对地震监测设施和地震观测环境增建抗干扰设施的确定。</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rPr>
        <w:t>2.</w:t>
      </w:r>
      <w:r>
        <w:rPr>
          <w:rFonts w:hint="eastAsia" w:ascii="仿宋" w:hAnsi="仿宋" w:eastAsia="仿宋" w:cs="仿宋"/>
          <w:sz w:val="32"/>
          <w:szCs w:val="32"/>
          <w:shd w:val="clear" w:color="auto" w:fill="FFFFFF"/>
          <w:lang w:eastAsia="zh-CN"/>
        </w:rPr>
        <w:t>负责</w:t>
      </w:r>
      <w:r>
        <w:rPr>
          <w:rFonts w:hint="eastAsia" w:ascii="仿宋" w:hAnsi="仿宋" w:eastAsia="仿宋" w:cs="仿宋"/>
          <w:sz w:val="32"/>
          <w:szCs w:val="32"/>
          <w:shd w:val="clear" w:color="auto" w:fill="FFFFFF"/>
        </w:rPr>
        <w:t>对地震观测环境保护范围划定。</w:t>
      </w:r>
    </w:p>
    <w:p>
      <w:pPr>
        <w:pStyle w:val="7"/>
        <w:keepNext w:val="0"/>
        <w:keepLines w:val="0"/>
        <w:pageBreakBefore w:val="0"/>
        <w:widowControl/>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sz w:val="32"/>
          <w:szCs w:val="32"/>
          <w:shd w:val="clear" w:color="auto" w:fill="FFFFFF"/>
        </w:rPr>
      </w:pPr>
      <w:r>
        <w:rPr>
          <w:rFonts w:hint="eastAsia" w:ascii="仿宋" w:hAnsi="仿宋" w:eastAsia="仿宋" w:cs="仿宋"/>
          <w:b/>
          <w:bCs/>
          <w:sz w:val="32"/>
          <w:szCs w:val="32"/>
          <w:shd w:val="clear" w:color="auto" w:fill="FFFFFF"/>
        </w:rPr>
        <w:t>（四）其他行政权力</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rPr>
        <w:t>1.</w:t>
      </w:r>
      <w:r>
        <w:rPr>
          <w:rFonts w:hint="eastAsia" w:ascii="仿宋" w:hAnsi="仿宋" w:eastAsia="仿宋" w:cs="仿宋"/>
          <w:sz w:val="32"/>
          <w:szCs w:val="32"/>
          <w:shd w:val="clear" w:color="auto" w:fill="FFFFFF"/>
          <w:lang w:eastAsia="zh-CN"/>
        </w:rPr>
        <w:t>负责</w:t>
      </w:r>
      <w:r>
        <w:rPr>
          <w:rFonts w:hint="eastAsia" w:ascii="仿宋" w:hAnsi="仿宋" w:eastAsia="仿宋" w:cs="仿宋"/>
          <w:sz w:val="32"/>
          <w:szCs w:val="32"/>
          <w:shd w:val="clear" w:color="auto" w:fill="FFFFFF"/>
        </w:rPr>
        <w:t>对未按照规定建设地震监测台网、采用地震监测设备和软件、擅自中止或者终止地震监测台网运行的责令改正。</w:t>
      </w:r>
    </w:p>
    <w:p>
      <w:pPr>
        <w:pStyle w:val="7"/>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ascii="仿宋" w:hAnsi="仿宋" w:eastAsia="仿宋" w:cs="仿宋"/>
          <w:sz w:val="32"/>
          <w:szCs w:val="32"/>
          <w:shd w:val="clear" w:color="auto" w:fill="FFFFFF"/>
        </w:rPr>
      </w:pPr>
      <w:r>
        <w:rPr>
          <w:rFonts w:hint="eastAsia" w:ascii="仿宋" w:hAnsi="仿宋" w:eastAsia="仿宋" w:cs="仿宋"/>
          <w:sz w:val="32"/>
          <w:szCs w:val="32"/>
          <w:shd w:val="clear" w:color="auto" w:fill="FFFFFF"/>
        </w:rPr>
        <w:t>2.</w:t>
      </w:r>
      <w:r>
        <w:rPr>
          <w:rFonts w:hint="eastAsia" w:ascii="仿宋" w:hAnsi="仿宋" w:eastAsia="仿宋" w:cs="仿宋"/>
          <w:sz w:val="32"/>
          <w:szCs w:val="32"/>
          <w:shd w:val="clear" w:color="auto" w:fill="FFFFFF"/>
          <w:lang w:eastAsia="zh-CN"/>
        </w:rPr>
        <w:t>负责</w:t>
      </w:r>
      <w:r>
        <w:rPr>
          <w:rFonts w:hint="eastAsia" w:ascii="仿宋" w:hAnsi="仿宋" w:eastAsia="仿宋" w:cs="仿宋"/>
          <w:sz w:val="32"/>
          <w:szCs w:val="32"/>
          <w:shd w:val="clear" w:color="auto" w:fill="FFFFFF"/>
        </w:rPr>
        <w:t>地震应急预案备案。</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bCs/>
          <w:sz w:val="32"/>
          <w:szCs w:val="32"/>
        </w:rPr>
      </w:pPr>
      <w:r>
        <w:rPr>
          <w:rFonts w:hint="eastAsia" w:ascii="黑体" w:hAnsi="黑体" w:eastAsia="黑体" w:cs="宋体"/>
          <w:bCs/>
          <w:sz w:val="32"/>
          <w:szCs w:val="32"/>
          <w:lang w:val="en-US" w:eastAsia="zh-CN"/>
        </w:rPr>
        <w:t>三、法律责任</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楷体_GB2312" w:eastAsia="楷体_GB2312"/>
          <w:sz w:val="32"/>
          <w:szCs w:val="32"/>
        </w:rPr>
      </w:pPr>
      <w:r>
        <w:rPr>
          <w:rFonts w:hint="eastAsia" w:ascii="楷体_GB2312" w:hAnsi="宋体" w:eastAsia="楷体_GB2312" w:cs="宋体"/>
          <w:sz w:val="32"/>
          <w:szCs w:val="32"/>
        </w:rPr>
        <w:t>　</w:t>
      </w:r>
      <w:r>
        <w:rPr>
          <w:rFonts w:hint="eastAsia" w:ascii="楷体_GB2312" w:hAnsi="宋体" w:eastAsia="楷体_GB2312" w:cs="宋体"/>
          <w:b/>
          <w:bCs/>
          <w:sz w:val="32"/>
          <w:szCs w:val="32"/>
        </w:rPr>
        <w:t>　(一)委托单位责任</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sz w:val="32"/>
          <w:szCs w:val="32"/>
        </w:rPr>
      </w:pPr>
      <w:r>
        <w:rPr>
          <w:rFonts w:hint="eastAsia" w:ascii="仿宋_GB2312" w:hAnsi="宋体" w:cs="宋体"/>
          <w:sz w:val="32"/>
          <w:szCs w:val="32"/>
        </w:rPr>
        <w:t>　　1.指导和监督受委托单位在委托权限范围内实施行政执法行为；</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sz w:val="32"/>
          <w:szCs w:val="32"/>
        </w:rPr>
      </w:pPr>
      <w:r>
        <w:rPr>
          <w:rFonts w:hint="eastAsia" w:ascii="仿宋_GB2312" w:hAnsi="宋体" w:cs="宋体"/>
          <w:sz w:val="32"/>
          <w:szCs w:val="32"/>
        </w:rPr>
        <w:t>　　2.承担受委托单位因违法导致案件错误所产生的法律后果，委托单位承担相应责任；</w:t>
      </w:r>
    </w:p>
    <w:p>
      <w:pPr>
        <w:keepNext w:val="0"/>
        <w:keepLines w:val="0"/>
        <w:pageBreakBefore w:val="0"/>
        <w:kinsoku/>
        <w:wordWrap/>
        <w:overflowPunct/>
        <w:topLinePunct w:val="0"/>
        <w:autoSpaceDE/>
        <w:autoSpaceDN/>
        <w:bidi w:val="0"/>
        <w:adjustRightInd/>
        <w:snapToGrid/>
        <w:spacing w:line="560" w:lineRule="exact"/>
        <w:ind w:firstLine="665"/>
        <w:jc w:val="both"/>
        <w:textAlignment w:val="auto"/>
        <w:rPr>
          <w:rFonts w:hint="eastAsia" w:ascii="仿宋_GB2312" w:hAnsi="宋体" w:cs="宋体"/>
          <w:sz w:val="32"/>
          <w:szCs w:val="32"/>
        </w:rPr>
      </w:pPr>
      <w:r>
        <w:rPr>
          <w:rFonts w:hint="eastAsia" w:ascii="仿宋_GB2312" w:hAnsi="宋体" w:cs="宋体"/>
          <w:sz w:val="32"/>
          <w:szCs w:val="32"/>
        </w:rPr>
        <w:t>3.对受委托单位违法或者不适当的行政执法行为予以纠正或撤销，委托单位可以终止委托。</w:t>
      </w:r>
    </w:p>
    <w:p>
      <w:pPr>
        <w:keepNext w:val="0"/>
        <w:keepLines w:val="0"/>
        <w:pageBreakBefore w:val="0"/>
        <w:kinsoku/>
        <w:wordWrap/>
        <w:overflowPunct/>
        <w:topLinePunct w:val="0"/>
        <w:autoSpaceDE/>
        <w:autoSpaceDN/>
        <w:bidi w:val="0"/>
        <w:adjustRightInd/>
        <w:snapToGrid/>
        <w:spacing w:line="560" w:lineRule="exact"/>
        <w:ind w:firstLine="665"/>
        <w:jc w:val="both"/>
        <w:textAlignment w:val="auto"/>
        <w:rPr>
          <w:rFonts w:hint="eastAsia" w:ascii="楷体_GB2312" w:eastAsia="楷体_GB2312"/>
          <w:b/>
          <w:bCs/>
          <w:sz w:val="32"/>
          <w:szCs w:val="32"/>
        </w:rPr>
      </w:pPr>
      <w:r>
        <w:rPr>
          <w:rFonts w:hint="eastAsia" w:ascii="楷体_GB2312" w:hAnsi="宋体" w:eastAsia="楷体_GB2312" w:cs="宋体"/>
          <w:b/>
          <w:bCs/>
          <w:sz w:val="32"/>
          <w:szCs w:val="32"/>
        </w:rPr>
        <w:t>（二）受委托单位责任</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sz w:val="32"/>
          <w:szCs w:val="32"/>
        </w:rPr>
      </w:pPr>
      <w:r>
        <w:rPr>
          <w:rFonts w:hint="eastAsia" w:ascii="仿宋_GB2312" w:hAnsi="宋体" w:cs="宋体"/>
          <w:sz w:val="32"/>
          <w:szCs w:val="32"/>
        </w:rPr>
        <w:t>　  1.受委托单位以委托单位名义在委托权限范围内实施行政执法行为；</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sz w:val="32"/>
          <w:szCs w:val="32"/>
        </w:rPr>
      </w:pPr>
      <w:r>
        <w:rPr>
          <w:rFonts w:hint="eastAsia" w:ascii="仿宋_GB2312" w:hAnsi="宋体" w:cs="宋体"/>
          <w:sz w:val="32"/>
          <w:szCs w:val="32"/>
        </w:rPr>
        <w:t>　  2.受委托单位在履行行政执法行为时，应当出示有效的行政执法证件，并按法定程序实施行政执法行为；</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sz w:val="32"/>
          <w:szCs w:val="32"/>
        </w:rPr>
      </w:pPr>
      <w:r>
        <w:rPr>
          <w:rFonts w:hint="eastAsia" w:ascii="仿宋_GB2312" w:hAnsi="宋体" w:cs="宋体"/>
          <w:sz w:val="32"/>
          <w:szCs w:val="32"/>
        </w:rPr>
        <w:t>　  3.受委托单位不得再委托其他任何组织或者个人实施委托单位的行政执法活动；</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sz w:val="32"/>
          <w:szCs w:val="32"/>
        </w:rPr>
      </w:pPr>
      <w:r>
        <w:rPr>
          <w:rFonts w:hint="eastAsia" w:ascii="仿宋_GB2312" w:hAnsi="宋体" w:cs="宋体"/>
          <w:sz w:val="32"/>
          <w:szCs w:val="32"/>
        </w:rPr>
        <w:t>　　4.应当接受委托单位的指导、监督和培训，参与和配合委托单位的行政执法工作；</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sz w:val="32"/>
          <w:szCs w:val="32"/>
        </w:rPr>
      </w:pPr>
      <w:r>
        <w:rPr>
          <w:rFonts w:hint="eastAsia" w:ascii="仿宋_GB2312" w:hAnsi="宋体" w:cs="宋体"/>
          <w:sz w:val="32"/>
          <w:szCs w:val="32"/>
        </w:rPr>
        <w:t>　　5.严格按照委托执法的有关规定，以委托单位的名义制作行政执法文书；</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sz w:val="32"/>
          <w:szCs w:val="32"/>
        </w:rPr>
      </w:pPr>
      <w:r>
        <w:rPr>
          <w:rFonts w:hint="eastAsia" w:ascii="仿宋_GB2312" w:hAnsi="宋体" w:cs="宋体"/>
          <w:sz w:val="32"/>
          <w:szCs w:val="32"/>
        </w:rPr>
        <w:t>　　6.建立相关的监督检查实施办法和行政执法制度；</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sz w:val="32"/>
          <w:szCs w:val="32"/>
        </w:rPr>
      </w:pPr>
      <w:r>
        <w:rPr>
          <w:rFonts w:hint="eastAsia" w:ascii="仿宋_GB2312" w:hAnsi="宋体" w:cs="宋体"/>
          <w:sz w:val="32"/>
          <w:szCs w:val="32"/>
        </w:rPr>
        <w:t>　  7.定期向委托单位报告委托行政执法情况，报送相关报表，不得虚报、瞒报、拒报、迟报；</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sz w:val="32"/>
          <w:szCs w:val="32"/>
        </w:rPr>
      </w:pPr>
      <w:r>
        <w:rPr>
          <w:rFonts w:hint="eastAsia" w:ascii="仿宋_GB2312" w:hAnsi="宋体" w:cs="宋体"/>
          <w:sz w:val="32"/>
          <w:szCs w:val="32"/>
        </w:rPr>
        <w:t>　  8.受委托单位以自己的名义执法或者超越委托权限，实施行政执法行为所产生的法律后果，由受委托单位自行承担；</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cs="宋体"/>
          <w:sz w:val="32"/>
          <w:szCs w:val="32"/>
        </w:rPr>
      </w:pPr>
      <w:r>
        <w:rPr>
          <w:rFonts w:hint="eastAsia" w:ascii="仿宋_GB2312" w:hAnsi="宋体" w:cs="宋体"/>
          <w:sz w:val="32"/>
          <w:szCs w:val="32"/>
        </w:rPr>
        <w:t>9.受委托单位的行政执法人员在履行行政执法职权时，存在滥用职权、玩忽职守、徇私舞弊等行为的，依法给予处分；构成犯罪的，依照刑法有关规定追究刑事责任；</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cs="宋体"/>
          <w:sz w:val="32"/>
          <w:szCs w:val="32"/>
        </w:rPr>
      </w:pPr>
      <w:r>
        <w:rPr>
          <w:rFonts w:hint="eastAsia" w:ascii="仿宋_GB2312" w:hAnsi="宋体" w:cs="宋体"/>
          <w:sz w:val="32"/>
          <w:szCs w:val="32"/>
        </w:rPr>
        <w:t>10.受委托单位在作出行政处罚时，应当严格按照行政执法“三项制度”履行程序；</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eastAsia="zh-CN"/>
        </w:rPr>
      </w:pPr>
      <w:r>
        <w:rPr>
          <w:rFonts w:hint="eastAsia" w:ascii="仿宋_GB2312" w:hAnsi="宋体" w:cs="宋体"/>
          <w:sz w:val="32"/>
          <w:szCs w:val="32"/>
        </w:rPr>
        <w:t>11.行政处罚案件办理完毕后，在10个工作日内将原件交委托机关立卷存档</w:t>
      </w:r>
      <w:r>
        <w:rPr>
          <w:rFonts w:hint="eastAsia" w:ascii="仿宋_GB2312" w:hAnsi="宋体" w:cs="宋体"/>
          <w:sz w:val="32"/>
          <w:szCs w:val="32"/>
          <w:lang w:eastAsia="zh-CN"/>
        </w:rPr>
        <w:t>；</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宋体" w:eastAsia="仿宋_GB2312" w:cs="宋体"/>
          <w:sz w:val="32"/>
          <w:szCs w:val="32"/>
          <w:lang w:val="en-US" w:eastAsia="zh-CN"/>
        </w:rPr>
      </w:pPr>
      <w:r>
        <w:rPr>
          <w:rFonts w:hint="eastAsia" w:ascii="仿宋_GB2312" w:hAnsi="宋体" w:cs="宋体"/>
          <w:sz w:val="32"/>
          <w:szCs w:val="32"/>
          <w:lang w:val="en-US" w:eastAsia="zh-CN"/>
        </w:rPr>
        <w:t>12.每年6月底要向委托单位报告行政执法工作开展情况。</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ascii="黑体" w:hAnsi="黑体" w:eastAsia="黑体"/>
          <w:bCs/>
          <w:sz w:val="32"/>
          <w:szCs w:val="32"/>
        </w:rPr>
      </w:pPr>
      <w:r>
        <w:rPr>
          <w:rFonts w:hint="eastAsia" w:ascii="黑体" w:hAnsi="黑体" w:eastAsia="黑体" w:cs="宋体"/>
          <w:bCs/>
          <w:sz w:val="32"/>
          <w:szCs w:val="32"/>
          <w:lang w:eastAsia="zh-CN"/>
        </w:rPr>
        <w:t>四</w:t>
      </w:r>
      <w:r>
        <w:rPr>
          <w:rFonts w:ascii="黑体" w:hAnsi="黑体" w:eastAsia="黑体" w:cs="宋体"/>
          <w:bCs/>
          <w:sz w:val="32"/>
          <w:szCs w:val="32"/>
        </w:rPr>
        <w:t>、</w:t>
      </w:r>
      <w:r>
        <w:rPr>
          <w:rFonts w:hint="eastAsia" w:ascii="黑体" w:hAnsi="黑体" w:eastAsia="黑体" w:cs="宋体"/>
          <w:bCs/>
          <w:sz w:val="32"/>
          <w:szCs w:val="32"/>
        </w:rPr>
        <w:t>委托执法期限</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cs="宋体"/>
          <w:sz w:val="32"/>
          <w:szCs w:val="32"/>
        </w:rPr>
      </w:pPr>
      <w:r>
        <w:rPr>
          <w:rFonts w:hint="eastAsia" w:ascii="仿宋_GB2312" w:hAnsi="宋体" w:cs="宋体"/>
          <w:sz w:val="32"/>
          <w:szCs w:val="32"/>
        </w:rPr>
        <w:t>从202</w:t>
      </w:r>
      <w:r>
        <w:rPr>
          <w:rFonts w:hint="eastAsia" w:ascii="仿宋_GB2312" w:hAnsi="宋体" w:cs="宋体"/>
          <w:sz w:val="32"/>
          <w:szCs w:val="32"/>
          <w:lang w:val="en-US" w:eastAsia="zh-CN"/>
        </w:rPr>
        <w:t>6</w:t>
      </w:r>
      <w:r>
        <w:rPr>
          <w:rFonts w:hint="eastAsia" w:ascii="仿宋_GB2312" w:hAnsi="宋体" w:cs="宋体"/>
          <w:sz w:val="32"/>
          <w:szCs w:val="32"/>
        </w:rPr>
        <w:t>年</w:t>
      </w:r>
      <w:r>
        <w:rPr>
          <w:rFonts w:hint="eastAsia" w:ascii="仿宋_GB2312" w:hAnsi="宋体" w:cs="宋体"/>
          <w:sz w:val="32"/>
          <w:szCs w:val="32"/>
          <w:lang w:val="en-US" w:eastAsia="zh-CN"/>
        </w:rPr>
        <w:t>7</w:t>
      </w:r>
      <w:r>
        <w:rPr>
          <w:rFonts w:hint="eastAsia" w:ascii="仿宋_GB2312" w:hAnsi="宋体" w:cs="宋体"/>
          <w:sz w:val="32"/>
          <w:szCs w:val="32"/>
        </w:rPr>
        <w:t>月</w:t>
      </w:r>
      <w:r>
        <w:rPr>
          <w:rFonts w:hint="eastAsia" w:ascii="仿宋_GB2312" w:hAnsi="宋体" w:cs="宋体"/>
          <w:sz w:val="32"/>
          <w:szCs w:val="32"/>
          <w:lang w:val="en-US" w:eastAsia="zh-CN"/>
        </w:rPr>
        <w:t>22</w:t>
      </w:r>
      <w:r>
        <w:rPr>
          <w:rFonts w:hint="eastAsia" w:ascii="仿宋_GB2312" w:hAnsi="宋体" w:cs="宋体"/>
          <w:sz w:val="32"/>
          <w:szCs w:val="32"/>
        </w:rPr>
        <w:t>日至202</w:t>
      </w:r>
      <w:r>
        <w:rPr>
          <w:rFonts w:hint="eastAsia" w:ascii="仿宋_GB2312" w:hAnsi="宋体" w:cs="宋体"/>
          <w:sz w:val="32"/>
          <w:szCs w:val="32"/>
          <w:lang w:val="en-US" w:eastAsia="zh-CN"/>
        </w:rPr>
        <w:t>9</w:t>
      </w:r>
      <w:r>
        <w:rPr>
          <w:rFonts w:hint="eastAsia" w:ascii="仿宋_GB2312" w:hAnsi="宋体" w:cs="宋体"/>
          <w:sz w:val="32"/>
          <w:szCs w:val="32"/>
        </w:rPr>
        <w:t xml:space="preserve">年 </w:t>
      </w:r>
      <w:r>
        <w:rPr>
          <w:rFonts w:hint="eastAsia" w:ascii="仿宋_GB2312" w:hAnsi="宋体" w:cs="宋体"/>
          <w:sz w:val="32"/>
          <w:szCs w:val="32"/>
          <w:lang w:val="en-US" w:eastAsia="zh-CN"/>
        </w:rPr>
        <w:t>7</w:t>
      </w:r>
      <w:r>
        <w:rPr>
          <w:rFonts w:hint="eastAsia" w:ascii="仿宋_GB2312" w:hAnsi="宋体" w:cs="宋体"/>
          <w:sz w:val="32"/>
          <w:szCs w:val="32"/>
        </w:rPr>
        <w:t>月</w:t>
      </w:r>
      <w:r>
        <w:rPr>
          <w:rFonts w:hint="eastAsia" w:ascii="仿宋_GB2312" w:hAnsi="宋体" w:cs="宋体"/>
          <w:sz w:val="32"/>
          <w:szCs w:val="32"/>
          <w:lang w:val="en-US" w:eastAsia="zh-CN"/>
        </w:rPr>
        <w:t>21</w:t>
      </w:r>
      <w:r>
        <w:rPr>
          <w:rFonts w:hint="eastAsia" w:ascii="仿宋_GB2312" w:hAnsi="宋体" w:cs="宋体"/>
          <w:sz w:val="32"/>
          <w:szCs w:val="32"/>
        </w:rPr>
        <w:t>日止。</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黑体" w:hAnsi="黑体" w:eastAsia="黑体"/>
          <w:bCs/>
          <w:sz w:val="32"/>
          <w:szCs w:val="32"/>
          <w:lang w:eastAsia="zh-CN"/>
        </w:rPr>
      </w:pPr>
      <w:r>
        <w:rPr>
          <w:rFonts w:hint="eastAsia" w:ascii="仿宋_GB2312" w:hAnsi="宋体" w:cs="宋体"/>
          <w:sz w:val="32"/>
          <w:szCs w:val="32"/>
        </w:rPr>
        <w:t>　</w:t>
      </w:r>
      <w:r>
        <w:rPr>
          <w:rFonts w:hint="eastAsia" w:ascii="黑体" w:hAnsi="黑体" w:eastAsia="黑体" w:cs="宋体"/>
          <w:sz w:val="32"/>
          <w:szCs w:val="32"/>
        </w:rPr>
        <w:t>　</w:t>
      </w:r>
      <w:r>
        <w:rPr>
          <w:rFonts w:hint="eastAsia" w:ascii="黑体" w:hAnsi="黑体" w:eastAsia="黑体" w:cs="宋体"/>
          <w:sz w:val="32"/>
          <w:szCs w:val="32"/>
          <w:lang w:eastAsia="zh-CN"/>
        </w:rPr>
        <w:t>五</w:t>
      </w:r>
      <w:r>
        <w:rPr>
          <w:rFonts w:hint="eastAsia" w:ascii="黑体" w:hAnsi="黑体" w:eastAsia="黑体" w:cs="宋体"/>
          <w:bCs/>
          <w:sz w:val="32"/>
          <w:szCs w:val="32"/>
        </w:rPr>
        <w:t>、</w:t>
      </w:r>
      <w:r>
        <w:rPr>
          <w:rFonts w:hint="eastAsia" w:ascii="黑体" w:hAnsi="黑体" w:eastAsia="黑体" w:cs="宋体"/>
          <w:bCs/>
          <w:sz w:val="32"/>
          <w:szCs w:val="32"/>
          <w:lang w:eastAsia="zh-CN"/>
        </w:rPr>
        <w:t>其他事项</w:t>
      </w:r>
    </w:p>
    <w:p>
      <w:pPr>
        <w:keepNext w:val="0"/>
        <w:keepLines w:val="0"/>
        <w:pageBreakBefore w:val="0"/>
        <w:widowControl w:val="0"/>
        <w:kinsoku/>
        <w:wordWrap/>
        <w:overflowPunct/>
        <w:topLinePunct w:val="0"/>
        <w:autoSpaceDE/>
        <w:autoSpaceDN/>
        <w:bidi w:val="0"/>
        <w:adjustRightInd/>
        <w:snapToGrid/>
        <w:spacing w:line="560" w:lineRule="exact"/>
        <w:ind w:firstLine="567"/>
        <w:jc w:val="both"/>
        <w:textAlignment w:val="auto"/>
        <w:rPr>
          <w:rFonts w:hint="eastAsia" w:ascii="仿宋_GB2312" w:hAnsi="宋体" w:cs="宋体"/>
          <w:sz w:val="32"/>
          <w:szCs w:val="32"/>
        </w:rPr>
      </w:pPr>
      <w:r>
        <w:rPr>
          <w:rFonts w:hint="eastAsia" w:ascii="仿宋_GB2312" w:hAnsi="宋体" w:cs="宋体"/>
          <w:sz w:val="32"/>
          <w:szCs w:val="32"/>
        </w:rPr>
        <w:t>本委托</w:t>
      </w:r>
      <w:r>
        <w:rPr>
          <w:rFonts w:hint="eastAsia" w:ascii="仿宋_GB2312" w:hAnsi="宋体" w:cs="宋体"/>
          <w:sz w:val="32"/>
          <w:szCs w:val="32"/>
          <w:lang w:eastAsia="zh-CN"/>
        </w:rPr>
        <w:t>协议</w:t>
      </w:r>
      <w:r>
        <w:rPr>
          <w:rFonts w:hint="eastAsia" w:ascii="仿宋_GB2312" w:hAnsi="宋体" w:cs="宋体"/>
          <w:sz w:val="32"/>
          <w:szCs w:val="32"/>
        </w:rPr>
        <w:t>书经双方法定代表人或者委托代理人签字并加盖单位公章之日起生效。委托期限届满后，由委托单位进行审核，经审核符合条件的重新签订委托协议书；经审核不符合条件的，解除委托协议。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本委托</w:t>
      </w:r>
      <w:r>
        <w:rPr>
          <w:rFonts w:hint="eastAsia" w:ascii="仿宋_GB2312" w:hAnsi="宋体" w:cs="宋体"/>
          <w:sz w:val="32"/>
          <w:szCs w:val="32"/>
          <w:lang w:eastAsia="zh-CN"/>
        </w:rPr>
        <w:t>协议</w:t>
      </w:r>
      <w:r>
        <w:rPr>
          <w:rFonts w:hint="eastAsia" w:ascii="仿宋_GB2312" w:hAnsi="宋体" w:eastAsia="仿宋_GB2312" w:cs="宋体"/>
          <w:sz w:val="32"/>
          <w:szCs w:val="32"/>
        </w:rPr>
        <w:t>书一式</w:t>
      </w:r>
      <w:r>
        <w:rPr>
          <w:rFonts w:hint="eastAsia" w:ascii="仿宋_GB2312" w:hAnsi="宋体" w:cs="宋体"/>
          <w:sz w:val="32"/>
          <w:szCs w:val="32"/>
          <w:lang w:eastAsia="zh-CN"/>
        </w:rPr>
        <w:t>三</w:t>
      </w:r>
      <w:r>
        <w:rPr>
          <w:rFonts w:hint="eastAsia" w:ascii="仿宋_GB2312" w:hAnsi="宋体" w:eastAsia="仿宋_GB2312" w:cs="宋体"/>
          <w:sz w:val="32"/>
          <w:szCs w:val="32"/>
        </w:rPr>
        <w:t>份，委托单位和受托单位各执一份，另送</w:t>
      </w:r>
      <w:r>
        <w:rPr>
          <w:rFonts w:hint="eastAsia" w:ascii="仿宋_GB2312" w:hAnsi="宋体" w:cs="宋体"/>
          <w:sz w:val="32"/>
          <w:szCs w:val="32"/>
          <w:lang w:eastAsia="zh-CN"/>
        </w:rPr>
        <w:t>长春市</w:t>
      </w:r>
      <w:r>
        <w:rPr>
          <w:rFonts w:hint="eastAsia" w:ascii="仿宋_GB2312" w:hAnsi="宋体" w:eastAsia="仿宋_GB2312" w:cs="宋体"/>
          <w:sz w:val="32"/>
          <w:szCs w:val="32"/>
        </w:rPr>
        <w:t>司法局备案</w:t>
      </w:r>
      <w:r>
        <w:rPr>
          <w:rFonts w:hint="eastAsia" w:ascii="仿宋_GB2312" w:hAnsi="宋体" w:cs="宋体"/>
          <w:sz w:val="32"/>
          <w:szCs w:val="32"/>
          <w:lang w:eastAsia="zh-CN"/>
        </w:rPr>
        <w:t>一</w:t>
      </w:r>
      <w:r>
        <w:rPr>
          <w:rFonts w:hint="eastAsia" w:ascii="仿宋_GB2312" w:hAnsi="宋体" w:eastAsia="仿宋_GB2312" w:cs="宋体"/>
          <w:sz w:val="32"/>
          <w:szCs w:val="32"/>
        </w:rPr>
        <w:t>份。</w:t>
      </w:r>
    </w:p>
    <w:p>
      <w:pPr>
        <w:rPr>
          <w:rFonts w:ascii="宋体"/>
          <w:sz w:val="28"/>
          <w:szCs w:val="28"/>
        </w:rPr>
      </w:pPr>
    </w:p>
    <w:p>
      <w:pPr>
        <w:jc w:val="both"/>
        <w:rPr>
          <w:rFonts w:hint="eastAsia" w:ascii="仿宋_GB2312" w:hAnsi="宋体" w:eastAsia="仿宋_GB2312" w:cs="宋体"/>
          <w:sz w:val="32"/>
          <w:szCs w:val="32"/>
        </w:rPr>
      </w:pPr>
    </w:p>
    <w:p>
      <w:pPr>
        <w:jc w:val="both"/>
        <w:rPr>
          <w:rFonts w:hint="eastAsia" w:ascii="仿宋_GB2312" w:hAnsi="宋体" w:eastAsia="仿宋_GB2312" w:cs="宋体"/>
          <w:sz w:val="32"/>
          <w:szCs w:val="32"/>
        </w:rPr>
      </w:pPr>
    </w:p>
    <w:p>
      <w:pPr>
        <w:jc w:val="both"/>
        <w:rPr>
          <w:rFonts w:hint="eastAsia" w:ascii="仿宋_GB2312" w:hAnsi="宋体" w:eastAsia="仿宋_GB2312" w:cs="宋体"/>
          <w:sz w:val="32"/>
          <w:szCs w:val="32"/>
        </w:rPr>
      </w:pPr>
    </w:p>
    <w:p>
      <w:pPr>
        <w:ind w:firstLine="567"/>
        <w:jc w:val="both"/>
        <w:rPr>
          <w:rFonts w:hint="eastAsia" w:ascii="仿宋_GB2312" w:hAnsi="宋体" w:cs="宋体"/>
          <w:sz w:val="32"/>
          <w:szCs w:val="32"/>
        </w:rPr>
      </w:pPr>
    </w:p>
    <w:sectPr>
      <w:footerReference r:id="rId3" w:type="default"/>
      <w:pgSz w:w="11906" w:h="16838"/>
      <w:pgMar w:top="1440" w:right="1800" w:bottom="1440" w:left="1800" w:header="851" w:footer="992" w:gutter="0"/>
      <w:cols w:space="720" w:num="1"/>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fldChar w:fldCharType="begin"/>
                          </w:r>
                          <w:r>
                            <w:instrText xml:space="preserve"> PAGE  \* MERGEFORMAT </w:instrText>
                          </w:r>
                          <w:r>
                            <w:fldChar w:fldCharType="separate"/>
                          </w:r>
                          <w:r>
                            <w:rPr>
                              <w:lang/>
                            </w:rP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9dBt2NwIAAG8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dLSuPlT9BUyhZWGrd5bHNFEqb1fHAGk7xaNAvSroVNxgDrueDW8mDvqf&#10;+y7q8T+x/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CzSVju0AAAAAUBAAAPAAAAAAAAAAEAIAAA&#10;ADgAAABkcnMvZG93bnJldi54bWxQSwECFAAUAAAACACHTuJAvXQbdjcCAABvBAAADgAAAAAAAAAB&#10;ACAAAAA1AQAAZHJzL2Uyb0RvYy54bWxQSwUGAAAAAAYABgBZAQAA3g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rPr>
                        <w:lang/>
                      </w:rP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F5605C"/>
    <w:multiLevelType w:val="multilevel"/>
    <w:tmpl w:val="16F5605C"/>
    <w:lvl w:ilvl="0" w:tentative="0">
      <w:start w:val="1"/>
      <w:numFmt w:val="ideographDigital"/>
      <w:pStyle w:val="3"/>
      <w:lvlText w:val="（%1）"/>
      <w:lvlJc w:val="left"/>
      <w:pPr>
        <w:tabs>
          <w:tab w:val="left" w:pos="930"/>
        </w:tabs>
        <w:ind w:left="93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79DB1B2A"/>
    <w:multiLevelType w:val="multilevel"/>
    <w:tmpl w:val="79DB1B2A"/>
    <w:lvl w:ilvl="0" w:tentative="0">
      <w:start w:val="1"/>
      <w:numFmt w:val="decimal"/>
      <w:pStyle w:val="4"/>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7D434B06"/>
    <w:multiLevelType w:val="multilevel"/>
    <w:tmpl w:val="7D434B06"/>
    <w:lvl w:ilvl="0" w:tentative="0">
      <w:start w:val="1"/>
      <w:numFmt w:val="ideographDigital"/>
      <w:pStyle w:val="2"/>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hyphenationZone w:val="360"/>
  <w:drawingGridHorizontalSpacing w:val="297"/>
  <w:drawingGridVerticalSpacing w:val="597"/>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BreakWrappedTables/>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B88"/>
    <w:rsid w:val="00053FF5"/>
    <w:rsid w:val="0028354B"/>
    <w:rsid w:val="002A7FAE"/>
    <w:rsid w:val="00312AD0"/>
    <w:rsid w:val="003B259C"/>
    <w:rsid w:val="0042205B"/>
    <w:rsid w:val="004C5F9A"/>
    <w:rsid w:val="0050364D"/>
    <w:rsid w:val="005B7B88"/>
    <w:rsid w:val="00657BD1"/>
    <w:rsid w:val="006C7B59"/>
    <w:rsid w:val="007029C0"/>
    <w:rsid w:val="00712AD7"/>
    <w:rsid w:val="00760F19"/>
    <w:rsid w:val="00781DB8"/>
    <w:rsid w:val="008163E9"/>
    <w:rsid w:val="00995665"/>
    <w:rsid w:val="00B00149"/>
    <w:rsid w:val="00B2129D"/>
    <w:rsid w:val="00B674C5"/>
    <w:rsid w:val="00BC4F05"/>
    <w:rsid w:val="00BC7C86"/>
    <w:rsid w:val="00C44D57"/>
    <w:rsid w:val="00D61867"/>
    <w:rsid w:val="00DC0BD1"/>
    <w:rsid w:val="00DC4359"/>
    <w:rsid w:val="00E92B89"/>
    <w:rsid w:val="00EF0816"/>
    <w:rsid w:val="00F272E0"/>
    <w:rsid w:val="00F30371"/>
    <w:rsid w:val="00FF3BE9"/>
    <w:rsid w:val="13AFBFF2"/>
    <w:rsid w:val="15BD1AA4"/>
    <w:rsid w:val="16BC802C"/>
    <w:rsid w:val="19DD24CA"/>
    <w:rsid w:val="1AFFB1C8"/>
    <w:rsid w:val="1B546325"/>
    <w:rsid w:val="1EB1D504"/>
    <w:rsid w:val="1F3FA23E"/>
    <w:rsid w:val="1F4E1D31"/>
    <w:rsid w:val="1FF650BE"/>
    <w:rsid w:val="24BB66E2"/>
    <w:rsid w:val="27FFA0CA"/>
    <w:rsid w:val="2BBFB75F"/>
    <w:rsid w:val="2CE816C3"/>
    <w:rsid w:val="2D5D7DC2"/>
    <w:rsid w:val="2F774EB4"/>
    <w:rsid w:val="36E11A43"/>
    <w:rsid w:val="377F37B5"/>
    <w:rsid w:val="37DFECE1"/>
    <w:rsid w:val="37FDB26E"/>
    <w:rsid w:val="380A515A"/>
    <w:rsid w:val="3977E59E"/>
    <w:rsid w:val="3BB31D9B"/>
    <w:rsid w:val="3BEF4BDF"/>
    <w:rsid w:val="3DFBE02D"/>
    <w:rsid w:val="3EBD1BFD"/>
    <w:rsid w:val="3F6D99D0"/>
    <w:rsid w:val="3F7BA354"/>
    <w:rsid w:val="3FDB65B3"/>
    <w:rsid w:val="3FDD0DDF"/>
    <w:rsid w:val="3FFBC805"/>
    <w:rsid w:val="3FFCDB2C"/>
    <w:rsid w:val="49CB02BF"/>
    <w:rsid w:val="4AA74908"/>
    <w:rsid w:val="4C3FD9B8"/>
    <w:rsid w:val="4D841FE8"/>
    <w:rsid w:val="4EFF0700"/>
    <w:rsid w:val="507472E3"/>
    <w:rsid w:val="52840D45"/>
    <w:rsid w:val="53D21DC9"/>
    <w:rsid w:val="5693D046"/>
    <w:rsid w:val="57D05150"/>
    <w:rsid w:val="5C77A3DE"/>
    <w:rsid w:val="5CEB0652"/>
    <w:rsid w:val="5EF40F93"/>
    <w:rsid w:val="5F2F83AB"/>
    <w:rsid w:val="5F3FDDD5"/>
    <w:rsid w:val="5F5D9A0E"/>
    <w:rsid w:val="5FB6BE7D"/>
    <w:rsid w:val="5FEE17AD"/>
    <w:rsid w:val="5FFFB83A"/>
    <w:rsid w:val="62BE718E"/>
    <w:rsid w:val="63A45B25"/>
    <w:rsid w:val="67BDE758"/>
    <w:rsid w:val="67FD62F5"/>
    <w:rsid w:val="688F1CD9"/>
    <w:rsid w:val="6BF53DC9"/>
    <w:rsid w:val="6BFD4DA9"/>
    <w:rsid w:val="6CFDF575"/>
    <w:rsid w:val="6CFE9853"/>
    <w:rsid w:val="6D5F51DC"/>
    <w:rsid w:val="6F64CD3E"/>
    <w:rsid w:val="6FAFD11D"/>
    <w:rsid w:val="6FB3198B"/>
    <w:rsid w:val="6FEB526D"/>
    <w:rsid w:val="711C78C8"/>
    <w:rsid w:val="71ED919B"/>
    <w:rsid w:val="730FFAB8"/>
    <w:rsid w:val="73FF190D"/>
    <w:rsid w:val="76779B5F"/>
    <w:rsid w:val="772D4E83"/>
    <w:rsid w:val="77FD7670"/>
    <w:rsid w:val="77FFEBE4"/>
    <w:rsid w:val="78E5DD5E"/>
    <w:rsid w:val="797F7F4E"/>
    <w:rsid w:val="7ABF7137"/>
    <w:rsid w:val="7B7B3248"/>
    <w:rsid w:val="7B9F98C5"/>
    <w:rsid w:val="7BBF3330"/>
    <w:rsid w:val="7BDE4E07"/>
    <w:rsid w:val="7BFFF762"/>
    <w:rsid w:val="7C7A26DF"/>
    <w:rsid w:val="7CEF5E85"/>
    <w:rsid w:val="7D7F8707"/>
    <w:rsid w:val="7EBFABB3"/>
    <w:rsid w:val="7EEFB4FC"/>
    <w:rsid w:val="7EF505B4"/>
    <w:rsid w:val="7F2B2FE6"/>
    <w:rsid w:val="7F771A4F"/>
    <w:rsid w:val="7F7F995E"/>
    <w:rsid w:val="7F905B7D"/>
    <w:rsid w:val="7FB50F8A"/>
    <w:rsid w:val="7FBB45F6"/>
    <w:rsid w:val="7FC35A10"/>
    <w:rsid w:val="7FCFB95E"/>
    <w:rsid w:val="7FDBC083"/>
    <w:rsid w:val="7FDD63F6"/>
    <w:rsid w:val="7FEF7BAA"/>
    <w:rsid w:val="7FEF9DAD"/>
    <w:rsid w:val="7FF39498"/>
    <w:rsid w:val="7FFCCF86"/>
    <w:rsid w:val="7FFF79DD"/>
    <w:rsid w:val="867FFD71"/>
    <w:rsid w:val="9FFE0CD6"/>
    <w:rsid w:val="A5134166"/>
    <w:rsid w:val="ABFFA141"/>
    <w:rsid w:val="ADD11E33"/>
    <w:rsid w:val="AEFABB5A"/>
    <w:rsid w:val="AF767FCF"/>
    <w:rsid w:val="B2FF026C"/>
    <w:rsid w:val="B39A8055"/>
    <w:rsid w:val="B3FA17BA"/>
    <w:rsid w:val="B5FF2B26"/>
    <w:rsid w:val="B8FA66DA"/>
    <w:rsid w:val="BA59BC02"/>
    <w:rsid w:val="BAD9BCEA"/>
    <w:rsid w:val="BDB90E75"/>
    <w:rsid w:val="BE4FE2FC"/>
    <w:rsid w:val="BE5536D5"/>
    <w:rsid w:val="BEFFEC22"/>
    <w:rsid w:val="BF4B4106"/>
    <w:rsid w:val="BFDEA00D"/>
    <w:rsid w:val="C7FEBA55"/>
    <w:rsid w:val="CBB244FE"/>
    <w:rsid w:val="CDEC18E7"/>
    <w:rsid w:val="CFFF2E2F"/>
    <w:rsid w:val="D5CFD9AB"/>
    <w:rsid w:val="D6FC2484"/>
    <w:rsid w:val="DB778156"/>
    <w:rsid w:val="DBBB2186"/>
    <w:rsid w:val="DBDFDD0C"/>
    <w:rsid w:val="DD1FB9B3"/>
    <w:rsid w:val="DDFDAE4D"/>
    <w:rsid w:val="DEFC46CD"/>
    <w:rsid w:val="DEFF7977"/>
    <w:rsid w:val="DF9D478E"/>
    <w:rsid w:val="DFEF5CD1"/>
    <w:rsid w:val="DFFFAB4F"/>
    <w:rsid w:val="E16B14CF"/>
    <w:rsid w:val="E5DFBDF6"/>
    <w:rsid w:val="E77F27BF"/>
    <w:rsid w:val="E85EF4E4"/>
    <w:rsid w:val="EBC340F7"/>
    <w:rsid w:val="ED7F488C"/>
    <w:rsid w:val="EDB719AB"/>
    <w:rsid w:val="EDFF4427"/>
    <w:rsid w:val="EE948A31"/>
    <w:rsid w:val="EF7FEF57"/>
    <w:rsid w:val="EFD719B2"/>
    <w:rsid w:val="EFE36052"/>
    <w:rsid w:val="EFFBD4AA"/>
    <w:rsid w:val="EFFF648A"/>
    <w:rsid w:val="F2AB5311"/>
    <w:rsid w:val="F2D5917E"/>
    <w:rsid w:val="F5AFE4CC"/>
    <w:rsid w:val="F65F5B01"/>
    <w:rsid w:val="F67BBF9B"/>
    <w:rsid w:val="F7A3A002"/>
    <w:rsid w:val="F7EDCCC6"/>
    <w:rsid w:val="F7FFDFBF"/>
    <w:rsid w:val="F93F6033"/>
    <w:rsid w:val="F9E71209"/>
    <w:rsid w:val="FA8CD4B3"/>
    <w:rsid w:val="FAFF67BA"/>
    <w:rsid w:val="FB0F4D14"/>
    <w:rsid w:val="FB16CB1E"/>
    <w:rsid w:val="FBD7E3CA"/>
    <w:rsid w:val="FBFFC73B"/>
    <w:rsid w:val="FCFFD7C7"/>
    <w:rsid w:val="FD7E97C2"/>
    <w:rsid w:val="FDB600B2"/>
    <w:rsid w:val="FDBF05EA"/>
    <w:rsid w:val="FDEF3A0C"/>
    <w:rsid w:val="FDF611EB"/>
    <w:rsid w:val="FDF7A708"/>
    <w:rsid w:val="FE7AF514"/>
    <w:rsid w:val="FED65C7B"/>
    <w:rsid w:val="FEDC95FC"/>
    <w:rsid w:val="FEE5342B"/>
    <w:rsid w:val="FF3AF0E0"/>
    <w:rsid w:val="FF8BCF57"/>
    <w:rsid w:val="FF9DE893"/>
    <w:rsid w:val="FFB57F67"/>
    <w:rsid w:val="FFEFB965"/>
    <w:rsid w:val="FFFB153C"/>
    <w:rsid w:val="FFFB8A4A"/>
    <w:rsid w:val="FFFE5CA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kern w:val="2"/>
      <w:sz w:val="30"/>
      <w:szCs w:val="24"/>
      <w:lang w:val="en-US" w:eastAsia="zh-CN" w:bidi="ar-SA"/>
    </w:rPr>
  </w:style>
  <w:style w:type="paragraph" w:styleId="2">
    <w:name w:val="heading 1"/>
    <w:next w:val="1"/>
    <w:qFormat/>
    <w:uiPriority w:val="0"/>
    <w:pPr>
      <w:keepNext/>
      <w:keepLines/>
      <w:numPr>
        <w:ilvl w:val="0"/>
        <w:numId w:val="1"/>
      </w:numPr>
      <w:outlineLvl w:val="0"/>
    </w:pPr>
    <w:rPr>
      <w:rFonts w:eastAsia="黑体"/>
      <w:bCs/>
      <w:kern w:val="44"/>
      <w:sz w:val="30"/>
      <w:szCs w:val="44"/>
      <w:lang w:val="en-US" w:eastAsia="zh-CN" w:bidi="ar-SA"/>
    </w:rPr>
  </w:style>
  <w:style w:type="paragraph" w:styleId="3">
    <w:name w:val="heading 2"/>
    <w:next w:val="1"/>
    <w:qFormat/>
    <w:uiPriority w:val="0"/>
    <w:pPr>
      <w:keepNext/>
      <w:keepLines/>
      <w:numPr>
        <w:ilvl w:val="0"/>
        <w:numId w:val="2"/>
      </w:numPr>
      <w:ind w:left="0" w:firstLine="0"/>
      <w:outlineLvl w:val="1"/>
    </w:pPr>
    <w:rPr>
      <w:rFonts w:ascii="Arial" w:hAnsi="Arial" w:eastAsia="楷体_GB2312"/>
      <w:b/>
      <w:bCs/>
      <w:kern w:val="2"/>
      <w:sz w:val="32"/>
      <w:szCs w:val="32"/>
      <w:lang w:val="en-US" w:eastAsia="zh-CN" w:bidi="ar-SA"/>
    </w:rPr>
  </w:style>
  <w:style w:type="paragraph" w:styleId="4">
    <w:name w:val="heading 3"/>
    <w:basedOn w:val="1"/>
    <w:next w:val="1"/>
    <w:qFormat/>
    <w:uiPriority w:val="0"/>
    <w:pPr>
      <w:keepNext/>
      <w:keepLines/>
      <w:numPr>
        <w:ilvl w:val="0"/>
        <w:numId w:val="3"/>
      </w:numPr>
      <w:outlineLvl w:val="2"/>
    </w:pPr>
    <w:rPr>
      <w:b/>
      <w:bCs/>
      <w:szCs w:val="32"/>
    </w:rPr>
  </w:style>
  <w:style w:type="character" w:default="1" w:styleId="9">
    <w:name w:val="Default Paragraph Font"/>
    <w:semiHidden/>
    <w:uiPriority w:val="0"/>
  </w:style>
  <w:style w:type="table" w:default="1" w:styleId="8">
    <w:name w:val="Normal Table"/>
    <w:semiHidden/>
    <w:uiPriority w:val="0"/>
    <w:tblPr>
      <w:tblStyle w:val="8"/>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jc w:val="left"/>
    </w:pPr>
    <w:rPr>
      <w:rFonts w:ascii="Calibri" w:hAnsi="Calibri" w:eastAsia="宋体"/>
      <w:kern w:val="0"/>
      <w:sz w:val="24"/>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microsoft.com/office/2006/relationships/keyMapCustomizations" Target="customizations.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chaozhou</Company>
  <Pages>4</Pages>
  <Words>819</Words>
  <Characters>837</Characters>
  <Lines>49</Lines>
  <Paragraphs>45</Paragraphs>
  <TotalTime>3.66666666666667</TotalTime>
  <ScaleCrop>false</ScaleCrop>
  <LinksUpToDate>false</LinksUpToDate>
  <CharactersWithSpaces>1611</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2021-08-18T06:12:00Z</dcterms:created>
  <dc:creator>最后修改</dc:creator>
  <cp:lastModifiedBy>greatwall</cp:lastModifiedBy>
  <cp:lastPrinted>2026-06-23T06:32:19Z</cp:lastPrinted>
  <dcterms:modified xsi:type="dcterms:W3CDTF">2026-06-30T16:15:35Z</dcterms:modified>
  <dc:title>一二三四五六七八九十一二三四五六七八九十一二三四五六七八</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4CBCE617AD1A29A5277B436ACB056432</vt:lpwstr>
  </property>
</Properties>
</file>