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宋体" w:hAnsi="宋体" w:cs="黑体"/>
          <w:b/>
          <w:sz w:val="32"/>
          <w:szCs w:val="32"/>
        </w:rPr>
      </w:pPr>
      <w:r>
        <w:rPr>
          <w:rFonts w:hint="eastAsia" w:ascii="宋体" w:hAnsi="宋体" w:cs="黑体"/>
          <w:b/>
          <w:sz w:val="32"/>
          <w:szCs w:val="32"/>
        </w:rPr>
        <w:t>报 名 回 执 表</w:t>
      </w:r>
    </w:p>
    <w:tbl>
      <w:tblPr>
        <w:tblStyle w:val="4"/>
        <w:tblpPr w:leftFromText="180" w:rightFromText="180" w:vertAnchor="text" w:horzAnchor="page" w:tblpX="1530" w:tblpY="1319"/>
        <w:tblOverlap w:val="never"/>
        <w:tblW w:w="8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982"/>
        <w:gridCol w:w="425"/>
        <w:gridCol w:w="463"/>
        <w:gridCol w:w="2587"/>
        <w:gridCol w:w="1458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需提供住宿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不需提供住宿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11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12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13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eastAsia" w:ascii="宋体" w:hAnsi="宋体" w:cs="黑体"/>
          <w:sz w:val="24"/>
          <w:szCs w:val="24"/>
        </w:rPr>
      </w:pPr>
    </w:p>
    <w:p>
      <w:pPr>
        <w:spacing w:line="600" w:lineRule="exact"/>
        <w:rPr>
          <w:rFonts w:hint="eastAsia"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报送单位：                                   年    月    日</w:t>
      </w:r>
    </w:p>
    <w:p>
      <w:pPr>
        <w:spacing w:line="600" w:lineRule="exact"/>
        <w:rPr>
          <w:rFonts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填表人：                             联系电话：</w:t>
      </w:r>
    </w:p>
    <w:p>
      <w:pPr>
        <w:ind w:firstLine="3480" w:firstLineChars="1450"/>
        <w:rPr>
          <w:rFonts w:hint="eastAsia" w:ascii="仿宋_GB2312" w:eastAsia="仿宋_GB2312"/>
          <w:sz w:val="24"/>
          <w:szCs w:val="24"/>
        </w:rPr>
      </w:pPr>
    </w:p>
    <w:p>
      <w:pPr>
        <w:ind w:firstLine="3480" w:firstLineChars="1450"/>
        <w:rPr>
          <w:rFonts w:hint="eastAsia" w:ascii="仿宋_GB2312" w:eastAsia="仿宋_GB2312"/>
          <w:sz w:val="24"/>
          <w:szCs w:val="24"/>
        </w:rPr>
      </w:pPr>
    </w:p>
    <w:p>
      <w:pPr>
        <w:ind w:firstLine="3480" w:firstLineChars="1450"/>
        <w:rPr>
          <w:rFonts w:hint="eastAsia" w:ascii="仿宋_GB2312" w:eastAsia="仿宋_GB2312"/>
          <w:sz w:val="24"/>
          <w:szCs w:val="24"/>
        </w:rPr>
      </w:pPr>
    </w:p>
    <w:p>
      <w:pPr>
        <w:ind w:firstLine="3480" w:firstLineChars="1450"/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ind w:firstLine="3480" w:firstLineChars="1450"/>
        <w:rPr>
          <w:rFonts w:hint="eastAsia" w:ascii="仿宋_GB2312" w:eastAsia="仿宋_GB2312"/>
          <w:sz w:val="24"/>
          <w:szCs w:val="24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</w:p>
    <w:p>
      <w:pPr>
        <w:jc w:val="center"/>
        <w:rPr>
          <w:rFonts w:hint="eastAsia" w:ascii="仿宋_GB2312" w:eastAsia="仿宋_GB2312"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全市金属冶炼企业监管能力提升</w:t>
      </w:r>
    </w:p>
    <w:p>
      <w:pPr>
        <w:ind w:firstLine="3480" w:firstLineChars="1450"/>
        <w:rPr>
          <w:rFonts w:hint="eastAsia" w:ascii="仿宋_GB2312" w:eastAsia="仿宋_GB2312"/>
          <w:sz w:val="24"/>
          <w:szCs w:val="24"/>
        </w:rPr>
      </w:pPr>
    </w:p>
    <w:p>
      <w:pPr>
        <w:ind w:firstLine="3480" w:firstLineChars="1450"/>
        <w:rPr>
          <w:rFonts w:hint="eastAsia" w:ascii="仿宋_GB2312" w:eastAsia="仿宋_GB2312"/>
          <w:sz w:val="24"/>
          <w:szCs w:val="24"/>
        </w:rPr>
      </w:pPr>
    </w:p>
    <w:p>
      <w:pPr>
        <w:ind w:firstLine="3480" w:firstLineChars="1450"/>
        <w:rPr>
          <w:rFonts w:hint="eastAsia" w:ascii="仿宋_GB2312" w:eastAsia="仿宋_GB2312"/>
          <w:sz w:val="24"/>
          <w:szCs w:val="24"/>
        </w:rPr>
      </w:pPr>
    </w:p>
    <w:p>
      <w:pPr>
        <w:ind w:firstLine="3480" w:firstLineChars="1450"/>
        <w:rPr>
          <w:rFonts w:hint="eastAsia" w:ascii="仿宋_GB2312" w:eastAsia="仿宋_GB2312"/>
          <w:sz w:val="24"/>
          <w:szCs w:val="24"/>
        </w:rPr>
      </w:pPr>
    </w:p>
    <w:p>
      <w:pPr>
        <w:ind w:firstLine="3480" w:firstLineChars="1450"/>
        <w:rPr>
          <w:rFonts w:hint="eastAsia" w:ascii="仿宋_GB2312" w:eastAsia="仿宋_GB2312"/>
          <w:sz w:val="24"/>
          <w:szCs w:val="24"/>
        </w:rPr>
      </w:pPr>
    </w:p>
    <w:p>
      <w:pPr>
        <w:ind w:firstLine="3480" w:firstLineChars="1450"/>
        <w:rPr>
          <w:rFonts w:hint="eastAsia" w:ascii="仿宋_GB2312" w:eastAsia="仿宋_GB2312"/>
          <w:sz w:val="24"/>
          <w:szCs w:val="24"/>
        </w:rPr>
      </w:pPr>
    </w:p>
    <w:p>
      <w:pPr>
        <w:ind w:firstLine="3480" w:firstLineChars="1450"/>
        <w:rPr>
          <w:rFonts w:hint="eastAsia" w:ascii="仿宋_GB2312" w:eastAsia="仿宋_GB2312"/>
          <w:sz w:val="24"/>
          <w:szCs w:val="24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培</w:t>
      </w:r>
    </w:p>
    <w:p>
      <w:pPr>
        <w:jc w:val="center"/>
        <w:rPr>
          <w:rFonts w:hint="eastAsia" w:ascii="宋体" w:hAnsi="宋体"/>
          <w:b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训</w:t>
      </w:r>
    </w:p>
    <w:p>
      <w:pPr>
        <w:jc w:val="center"/>
        <w:rPr>
          <w:rFonts w:hint="eastAsia" w:ascii="宋体" w:hAnsi="宋体"/>
          <w:b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须</w:t>
      </w:r>
    </w:p>
    <w:p>
      <w:pPr>
        <w:jc w:val="center"/>
        <w:rPr>
          <w:rFonts w:hint="eastAsia" w:ascii="宋体" w:hAnsi="宋体"/>
          <w:b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知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长春市应急管理教育培训中心</w:t>
      </w:r>
    </w:p>
    <w:p>
      <w:pPr>
        <w:ind w:firstLine="3313" w:firstLineChars="1100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2019年9月</w:t>
      </w:r>
    </w:p>
    <w:p>
      <w:pPr>
        <w:ind w:firstLine="3313" w:firstLineChars="1100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ind w:firstLine="3313" w:firstLineChars="1100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注 意 事 项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numPr>
          <w:ilvl w:val="0"/>
          <w:numId w:val="1"/>
        </w:numPr>
        <w:spacing w:line="800" w:lineRule="exact"/>
        <w:ind w:left="363"/>
        <w:jc w:val="left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学员自觉服从课程安排，严格尊守培训纪律，严禁迟到早退；</w:t>
      </w:r>
    </w:p>
    <w:p>
      <w:pPr>
        <w:numPr>
          <w:ilvl w:val="0"/>
          <w:numId w:val="1"/>
        </w:numPr>
        <w:spacing w:line="800" w:lineRule="exact"/>
        <w:ind w:left="363"/>
        <w:jc w:val="left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学员进入教室后请将手机关闭或设置成静音模式，如需接听电话，请到教室外接听；</w:t>
      </w:r>
    </w:p>
    <w:p>
      <w:pPr>
        <w:numPr>
          <w:ilvl w:val="0"/>
          <w:numId w:val="1"/>
        </w:numPr>
        <w:spacing w:line="800" w:lineRule="exact"/>
        <w:ind w:left="363"/>
        <w:jc w:val="left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学员要保持教室的良好秩序，严禁交头接耳、打瞌睡，教室内禁止吸烟；</w:t>
      </w:r>
    </w:p>
    <w:p>
      <w:pPr>
        <w:numPr>
          <w:ilvl w:val="0"/>
          <w:numId w:val="1"/>
        </w:numPr>
        <w:spacing w:line="800" w:lineRule="exact"/>
        <w:ind w:left="363"/>
        <w:jc w:val="left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学员进入教室后按指定座位就座，不准大声喧哗；</w:t>
      </w:r>
    </w:p>
    <w:p>
      <w:pPr>
        <w:numPr>
          <w:ilvl w:val="0"/>
          <w:numId w:val="1"/>
        </w:numPr>
        <w:spacing w:line="800" w:lineRule="exact"/>
        <w:ind w:left="363"/>
        <w:jc w:val="left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请妥善班管好随身携带物品和学习资料。</w:t>
      </w:r>
    </w:p>
    <w:p>
      <w:pPr>
        <w:jc w:val="left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left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bCs/>
          <w:sz w:val="36"/>
          <w:szCs w:val="36"/>
        </w:rPr>
        <w:t xml:space="preserve">      </w:t>
      </w:r>
      <w:r>
        <w:rPr>
          <w:rFonts w:hint="eastAsia" w:ascii="宋体" w:hAnsi="宋体" w:cs="宋体"/>
          <w:sz w:val="32"/>
          <w:szCs w:val="32"/>
        </w:rPr>
        <w:t xml:space="preserve">  联系人： 赵迪 18943676111</w:t>
      </w:r>
    </w:p>
    <w:p>
      <w:pPr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于杰 13324316778</w:t>
      </w:r>
    </w:p>
    <w:p>
      <w:pPr>
        <w:jc w:val="left"/>
        <w:rPr>
          <w:rFonts w:hint="eastAsia" w:ascii="宋体" w:hAnsi="宋体" w:cs="宋体"/>
          <w:sz w:val="32"/>
          <w:szCs w:val="32"/>
        </w:rPr>
      </w:pPr>
    </w:p>
    <w:p>
      <w:pPr>
        <w:jc w:val="left"/>
        <w:rPr>
          <w:rFonts w:hint="eastAsia" w:ascii="宋体" w:hAnsi="宋体" w:cs="宋体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全市金属冶炼企业监管能力提升培训日程安排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37"/>
        <w:gridCol w:w="2575"/>
        <w:gridCol w:w="1638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日 期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时间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内容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地点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9月4日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15:00-18:00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学员报到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留学生公寓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王勇、于杰、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张小奇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17:30-18:00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晚  餐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留学生餐厅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9月5日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7:30-8:00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早  餐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留学生餐厅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8:30-9:30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开班典礼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阶梯教室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张新辉、李晓君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9:40-11:20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隐患排查及整改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阶梯教室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徐文平、赵迪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11:30-12:30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午餐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留学生餐厅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13:30-15:00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企业安全生产标准化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阶梯教室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杜勤、刘刚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15:20-17:00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建设项目安全设施“三同时”监督管理办法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阶梯教室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王志远、赵迪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17:30-18:00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晚  餐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留学生餐厅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9月6日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7:30-8:00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早  餐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留学生餐厅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8:30-9:50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宣贯《安全生产法》、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《吉林省安全生产条例》、《长春市安全生产条例》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阶梯教室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李江、刘世伟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10:00-11:20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宣贯《冶金企业和有色金属企业安全生产规定》（总局第91号令）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阶梯教室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李江、张小奇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11:30-12:30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午餐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留学生餐厅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13:30-15:00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学习测试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阶梯教室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宁红岩、刘刚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15:00</w:t>
            </w:r>
          </w:p>
        </w:tc>
        <w:tc>
          <w:tcPr>
            <w:tcW w:w="58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返程</w:t>
            </w:r>
          </w:p>
        </w:tc>
      </w:tr>
    </w:tbl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</w:rPr>
    </w:pPr>
    <w:r>
      <w:rPr>
        <w:rFonts w:hint="eastAsia"/>
        <w:sz w:val="28"/>
      </w:rPr>
      <w:t xml:space="preserve">-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  <w:lang w:val="zh-CN"/>
      </w:rPr>
      <w:t>2</w:t>
    </w:r>
    <w:r>
      <w:rPr>
        <w:sz w:val="28"/>
      </w:rPr>
      <w:fldChar w:fldCharType="end"/>
    </w:r>
    <w:r>
      <w:rPr>
        <w:rFonts w:hint="eastAsia"/>
        <w:sz w:val="28"/>
      </w:rPr>
      <w:t xml:space="preserve"> -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7A3DE6"/>
    <w:multiLevelType w:val="singleLevel"/>
    <w:tmpl w:val="EA7A3DE6"/>
    <w:lvl w:ilvl="0" w:tentative="0">
      <w:start w:val="1"/>
      <w:numFmt w:val="decimal"/>
      <w:suff w:val="space"/>
      <w:lvlText w:val="%1."/>
      <w:lvlJc w:val="left"/>
      <w:pPr>
        <w:ind w:left="36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C0F98"/>
    <w:rsid w:val="325C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2019-08-30T08:14:00Z</dcterms:created>
  <dc:creator>hp</dc:creator>
  <cp:lastModifiedBy>hp</cp:lastModifiedBy>
  <dcterms:modified xsi:type="dcterms:W3CDTF">2019-08-30T08:16:40Z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