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hAnsiTheme="minorEastAsia" w:cstheme="minorEastAsia"/>
          <w:sz w:val="32"/>
          <w:szCs w:val="32"/>
        </w:rPr>
      </w:pPr>
      <w:r>
        <w:rPr>
          <w:rFonts w:hint="eastAsia" w:ascii="方正小标宋简体" w:eastAsia="方正小标宋简体" w:hAnsiTheme="minorEastAsia" w:cstheme="minorEastAsia"/>
          <w:sz w:val="32"/>
          <w:szCs w:val="32"/>
        </w:rPr>
        <w:t>加油站安全生产检查表（现场部分）</w:t>
      </w:r>
    </w:p>
    <w:tbl>
      <w:tblPr>
        <w:tblStyle w:val="6"/>
        <w:tblW w:w="4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97"/>
        <w:gridCol w:w="4923"/>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317" w:type="pct"/>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468" w:type="pct"/>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检查</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内容</w:t>
            </w:r>
          </w:p>
        </w:tc>
        <w:tc>
          <w:tcPr>
            <w:tcW w:w="2892" w:type="pct"/>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检查标准</w:t>
            </w:r>
          </w:p>
        </w:tc>
        <w:tc>
          <w:tcPr>
            <w:tcW w:w="1321" w:type="pct"/>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检查</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46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选址和总平面布置</w:t>
            </w:r>
          </w:p>
        </w:tc>
        <w:tc>
          <w:tcPr>
            <w:tcW w:w="2892" w:type="pct"/>
            <w:vAlign w:val="center"/>
          </w:tcPr>
          <w:p>
            <w:pPr>
              <w:numPr>
                <w:ilvl w:val="0"/>
                <w:numId w:val="1"/>
              </w:numPr>
              <w:rPr>
                <w:rFonts w:asciiTheme="minorEastAsia" w:hAnsiTheme="minorEastAsia" w:cstheme="minorEastAsia"/>
                <w:szCs w:val="21"/>
              </w:rPr>
            </w:pPr>
            <w:r>
              <w:rPr>
                <w:rFonts w:hint="eastAsia" w:asciiTheme="minorEastAsia" w:hAnsiTheme="minorEastAsia" w:cstheme="minorEastAsia"/>
                <w:szCs w:val="21"/>
              </w:rPr>
              <w:t>加油站的汽油设备和柴油设备与站外建（构）筑物的安全间距，不应小于《汽车加油加气站设计与施工规范》（GB50156-2012，2014年版）表4.0.4和</w:t>
            </w:r>
            <w:r>
              <w:rPr>
                <w:rFonts w:hint="eastAsia" w:asciiTheme="minorEastAsia" w:hAnsiTheme="minorEastAsia" w:cstheme="minorEastAsia"/>
                <w:spacing w:val="10"/>
                <w:szCs w:val="21"/>
              </w:rPr>
              <w:t>表4.0.5</w:t>
            </w:r>
            <w:r>
              <w:rPr>
                <w:rFonts w:hint="eastAsia" w:asciiTheme="minorEastAsia" w:hAnsiTheme="minorEastAsia" w:cstheme="minorEastAsia"/>
                <w:szCs w:val="21"/>
              </w:rPr>
              <w:t>的规定。</w:t>
            </w:r>
          </w:p>
          <w:p>
            <w:pPr>
              <w:numPr>
                <w:ilvl w:val="0"/>
                <w:numId w:val="1"/>
              </w:numPr>
              <w:rPr>
                <w:rFonts w:asciiTheme="minorEastAsia" w:hAnsiTheme="minorEastAsia" w:cstheme="minorEastAsia"/>
                <w:szCs w:val="21"/>
              </w:rPr>
            </w:pPr>
            <w:r>
              <w:rPr>
                <w:rFonts w:hint="eastAsia" w:asciiTheme="minorEastAsia" w:hAnsiTheme="minorEastAsia" w:cstheme="minorEastAsia"/>
                <w:spacing w:val="10"/>
                <w:szCs w:val="21"/>
              </w:rPr>
              <w:t>架空电力线路不应跨越加油作业区。</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rPr>
              <w:t>加油作业区内的停车位和道路路面不应采用沥青路面。</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rPr>
              <w:t>站内的爆炸危险区域不应超出站区围墙和可用地界线。</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rPr>
              <w:t>站内设施之间的防火距离，不应小于《汽车加油加气站设计与施工规范》（GB50156-2012，2014年版）表5.0.13-1和表5.0.13-2的规定。</w:t>
            </w:r>
          </w:p>
          <w:p>
            <w:pPr>
              <w:pStyle w:val="12"/>
              <w:numPr>
                <w:ilvl w:val="0"/>
                <w:numId w:val="1"/>
              </w:numPr>
              <w:ind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车辆入口和出口应分开设置。</w:t>
            </w:r>
          </w:p>
          <w:p>
            <w:pPr>
              <w:pStyle w:val="12"/>
              <w:numPr>
                <w:ilvl w:val="0"/>
                <w:numId w:val="1"/>
              </w:numPr>
              <w:ind w:firstLineChars="0"/>
              <w:jc w:val="left"/>
              <w:rPr>
                <w:rFonts w:asciiTheme="minorEastAsia" w:hAnsiTheme="minorEastAsia" w:cstheme="minorEastAsia"/>
                <w:b/>
                <w:szCs w:val="21"/>
              </w:rPr>
            </w:pPr>
            <w:r>
              <w:rPr>
                <w:rFonts w:hint="eastAsia" w:asciiTheme="minorEastAsia" w:hAnsiTheme="minorEastAsia" w:eastAsiaTheme="minorEastAsia" w:cstheme="minorEastAsia"/>
                <w:kern w:val="2"/>
                <w:sz w:val="21"/>
                <w:szCs w:val="21"/>
                <w:lang w:val="en-US" w:eastAsia="zh-CN" w:bidi="ar-SA"/>
              </w:rPr>
              <w:t>加油站的变配电间或室外变压器应布置在爆炸危险区域之外，且与爆炸危险区域边界线的距离不应小于3m。</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46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油罐</w:t>
            </w:r>
          </w:p>
        </w:tc>
        <w:tc>
          <w:tcPr>
            <w:tcW w:w="2892" w:type="pct"/>
            <w:vAlign w:val="center"/>
          </w:tcPr>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汽油罐和柴油罐应埋地设置，严禁设在室内或地下室内。</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油罐的量油孔应设带锁的量油帽。</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埋地油罐的人孔应设操作井。设在行车道下面的人孔井应采用加油站车行道下专用的密闭井盖和井座。</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埋地油罐操作井应采取防渗漏和防火花发生的措施。</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油罐应采取卸油时的防满溢措施。并在工作人员便于觉察的地点设高液位报警装置。（卸油场地附近应设置声光报警器）</w:t>
            </w:r>
            <w:r>
              <w:rPr>
                <w:rFonts w:hint="eastAsia" w:asciiTheme="minorEastAsia" w:hAnsiTheme="minorEastAsia" w:cstheme="minorEastAsia"/>
                <w:szCs w:val="21"/>
                <w:lang w:eastAsia="zh-CN"/>
              </w:rPr>
              <w:t>。</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装有潜油泵的油罐人孔操作井、卸油口井、加油机底槽应采取防渗措施。</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人孔井内部不得积水或锈蚀。</w:t>
            </w:r>
          </w:p>
          <w:p>
            <w:pPr>
              <w:numPr>
                <w:ilvl w:val="0"/>
                <w:numId w:val="2"/>
              </w:numPr>
              <w:rPr>
                <w:rFonts w:hint="eastAsia" w:asciiTheme="minorEastAsia" w:hAnsiTheme="minorEastAsia" w:cstheme="minorEastAsia"/>
                <w:szCs w:val="21"/>
              </w:rPr>
            </w:pPr>
            <w:r>
              <w:rPr>
                <w:rFonts w:hint="eastAsia" w:asciiTheme="minorEastAsia" w:hAnsiTheme="minorEastAsia" w:cstheme="minorEastAsia"/>
                <w:szCs w:val="21"/>
              </w:rPr>
              <w:t>油罐的接合管应为金属材质，接合管应设在油罐的顶部，其中进油接合管、出油接合管或潜油泵安装口，应设在人孔盖上。</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468" w:type="pct"/>
            <w:vAlign w:val="center"/>
          </w:tcPr>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加油机</w:t>
            </w:r>
          </w:p>
        </w:tc>
        <w:tc>
          <w:tcPr>
            <w:tcW w:w="2892" w:type="pct"/>
            <w:vAlign w:val="center"/>
          </w:tcPr>
          <w:p>
            <w:pPr>
              <w:numPr>
                <w:ilvl w:val="0"/>
                <w:numId w:val="3"/>
              </w:numPr>
              <w:adjustRightInd w:val="0"/>
              <w:snapToGrid w:val="0"/>
              <w:jc w:val="left"/>
              <w:rPr>
                <w:rFonts w:asciiTheme="minorEastAsia" w:hAnsiTheme="minorEastAsia" w:cstheme="minorEastAsia"/>
                <w:szCs w:val="21"/>
              </w:rPr>
            </w:pPr>
            <w:r>
              <w:rPr>
                <w:rFonts w:hint="eastAsia" w:asciiTheme="minorEastAsia" w:hAnsiTheme="minorEastAsia" w:cstheme="minorEastAsia"/>
                <w:szCs w:val="21"/>
              </w:rPr>
              <w:t>加油机不得设置在室内。</w:t>
            </w:r>
          </w:p>
          <w:p>
            <w:pPr>
              <w:numPr>
                <w:ilvl w:val="0"/>
                <w:numId w:val="3"/>
              </w:numPr>
              <w:adjustRightInd w:val="0"/>
              <w:snapToGrid w:val="0"/>
              <w:rPr>
                <w:rFonts w:hint="eastAsia" w:asciiTheme="minorEastAsia" w:hAnsiTheme="minorEastAsia" w:cstheme="minorEastAsia"/>
                <w:szCs w:val="21"/>
              </w:rPr>
            </w:pPr>
            <w:r>
              <w:rPr>
                <w:rFonts w:hint="eastAsia" w:asciiTheme="minorEastAsia" w:hAnsiTheme="minorEastAsia" w:cstheme="minorEastAsia"/>
                <w:szCs w:val="21"/>
              </w:rPr>
              <w:t>位于加油岛端部的加油机附近应设防撞柱（栏），其高度不应小于0.5m。</w:t>
            </w:r>
          </w:p>
          <w:p>
            <w:pPr>
              <w:numPr>
                <w:ilvl w:val="0"/>
                <w:numId w:val="3"/>
              </w:numPr>
              <w:adjustRightInd w:val="0"/>
              <w:snapToGrid w:val="0"/>
              <w:rPr>
                <w:rFonts w:hint="eastAsia" w:asciiTheme="minorEastAsia" w:hAnsiTheme="minorEastAsia" w:cstheme="minorEastAsia"/>
                <w:szCs w:val="21"/>
              </w:rPr>
            </w:pPr>
            <w:r>
              <w:rPr>
                <w:rFonts w:hint="eastAsia" w:asciiTheme="minorEastAsia" w:hAnsiTheme="minorEastAsia" w:cstheme="minorEastAsia"/>
                <w:szCs w:val="21"/>
              </w:rPr>
              <w:t>加油机的基坑应用细沙填实。</w:t>
            </w:r>
          </w:p>
          <w:p>
            <w:pPr>
              <w:numPr>
                <w:ilvl w:val="0"/>
                <w:numId w:val="3"/>
              </w:numPr>
              <w:adjustRightInd w:val="0"/>
              <w:snapToGrid w:val="0"/>
              <w:rPr>
                <w:rFonts w:asciiTheme="minorEastAsia" w:hAnsiTheme="minorEastAsia" w:cstheme="minorEastAsia"/>
                <w:szCs w:val="21"/>
              </w:rPr>
            </w:pPr>
            <w:r>
              <w:rPr>
                <w:rFonts w:hint="eastAsia" w:asciiTheme="minorEastAsia" w:hAnsiTheme="minorEastAsia" w:cstheme="minorEastAsia"/>
                <w:szCs w:val="21"/>
              </w:rPr>
              <w:t>采用一机多油品加油机时，加油机上的放枪位应有各油品的文字标识，加油枪应有颜色标识。</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17" w:type="pct"/>
            <w:vAlign w:val="center"/>
          </w:tcPr>
          <w:p>
            <w:pPr>
              <w:ind w:left="227"/>
              <w:rPr>
                <w:rFonts w:asciiTheme="minorEastAsia" w:hAnsiTheme="minorEastAsia" w:cstheme="minorEastAsia"/>
                <w:szCs w:val="21"/>
              </w:rPr>
            </w:pPr>
            <w:r>
              <w:rPr>
                <w:rFonts w:hint="eastAsia" w:asciiTheme="minorEastAsia" w:hAnsiTheme="minorEastAsia" w:cstheme="minorEastAsia"/>
                <w:szCs w:val="21"/>
              </w:rPr>
              <w:t>4</w:t>
            </w:r>
          </w:p>
        </w:tc>
        <w:tc>
          <w:tcPr>
            <w:tcW w:w="46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通气管</w:t>
            </w:r>
          </w:p>
        </w:tc>
        <w:tc>
          <w:tcPr>
            <w:tcW w:w="2892" w:type="pct"/>
            <w:vAlign w:val="center"/>
          </w:tcPr>
          <w:p>
            <w:pPr>
              <w:numPr>
                <w:ilvl w:val="0"/>
                <w:numId w:val="4"/>
              </w:numPr>
              <w:rPr>
                <w:rFonts w:asciiTheme="minorEastAsia" w:hAnsiTheme="minorEastAsia" w:cstheme="minorEastAsia"/>
                <w:szCs w:val="21"/>
              </w:rPr>
            </w:pPr>
            <w:r>
              <w:rPr>
                <w:rFonts w:hint="eastAsia" w:asciiTheme="minorEastAsia" w:hAnsiTheme="minorEastAsia" w:cstheme="minorEastAsia"/>
                <w:szCs w:val="21"/>
              </w:rPr>
              <w:t>汽油罐与柴油罐的通气管应分开设置。通气管管口高出地面的高度不应小于4m。沿建（构）筑物的墙（柱）向上敷设的通气管，其管口应高出建筑物的顶面1.5m及以上。通气管管口应设置阻火器</w:t>
            </w:r>
            <w:r>
              <w:rPr>
                <w:rFonts w:hint="eastAsia" w:asciiTheme="minorEastAsia" w:hAnsiTheme="minorEastAsia" w:cstheme="minorEastAsia"/>
                <w:szCs w:val="21"/>
                <w:lang w:eastAsia="zh-CN"/>
              </w:rPr>
              <w:t>。</w:t>
            </w:r>
          </w:p>
          <w:p>
            <w:pPr>
              <w:numPr>
                <w:ilvl w:val="0"/>
                <w:numId w:val="4"/>
              </w:numPr>
              <w:rPr>
                <w:rFonts w:asciiTheme="minorEastAsia" w:hAnsiTheme="minorEastAsia" w:cstheme="minorEastAsia"/>
                <w:szCs w:val="21"/>
              </w:rPr>
            </w:pPr>
            <w:r>
              <w:rPr>
                <w:rFonts w:hint="eastAsia" w:asciiTheme="minorEastAsia" w:hAnsiTheme="minorEastAsia" w:cstheme="minorEastAsia"/>
                <w:szCs w:val="21"/>
              </w:rPr>
              <w:t>通气管的公称直径不应小于50mm。</w:t>
            </w:r>
          </w:p>
          <w:p>
            <w:pPr>
              <w:numPr>
                <w:ilvl w:val="0"/>
                <w:numId w:val="4"/>
              </w:numPr>
              <w:rPr>
                <w:rFonts w:hint="eastAsia" w:asciiTheme="minorEastAsia" w:hAnsiTheme="minorEastAsia" w:cstheme="minorEastAsia"/>
                <w:szCs w:val="21"/>
              </w:rPr>
            </w:pPr>
            <w:r>
              <w:rPr>
                <w:rFonts w:asciiTheme="minorEastAsia" w:hAnsiTheme="minorEastAsia"/>
                <w:szCs w:val="21"/>
              </w:rPr>
              <w:t>当加油站采用油气回收系统时，汽油罐的通气</w:t>
            </w:r>
            <w:r>
              <w:rPr>
                <w:rFonts w:hint="eastAsia" w:asciiTheme="minorEastAsia" w:hAnsiTheme="minorEastAsia" w:cstheme="minorEastAsia"/>
                <w:szCs w:val="21"/>
              </w:rPr>
              <w:t>管管口除应装设阻火器外，尚应装设呼吸阀。</w:t>
            </w:r>
          </w:p>
          <w:p>
            <w:pPr>
              <w:numPr>
                <w:ilvl w:val="0"/>
                <w:numId w:val="4"/>
              </w:numPr>
              <w:rPr>
                <w:rFonts w:asciiTheme="minorEastAsia" w:hAnsiTheme="minorEastAsia" w:cstheme="minorEastAsia"/>
                <w:szCs w:val="21"/>
              </w:rPr>
            </w:pPr>
            <w:r>
              <w:rPr>
                <w:rFonts w:hint="eastAsia" w:asciiTheme="minorEastAsia" w:hAnsiTheme="minorEastAsia" w:cstheme="minorEastAsia"/>
                <w:szCs w:val="21"/>
              </w:rPr>
              <w:t>带阻火器的乙醇汽油通气管应安装干燥器</w:t>
            </w:r>
            <w:r>
              <w:rPr>
                <w:rFonts w:asciiTheme="minorEastAsia" w:hAnsiTheme="minorEastAsia"/>
                <w:szCs w:val="21"/>
              </w:rPr>
              <w:t>。</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468" w:type="pct"/>
            <w:vAlign w:val="center"/>
          </w:tcPr>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建筑物</w:t>
            </w:r>
          </w:p>
        </w:tc>
        <w:tc>
          <w:tcPr>
            <w:tcW w:w="2892" w:type="pct"/>
            <w:vAlign w:val="center"/>
          </w:tcPr>
          <w:p>
            <w:pPr>
              <w:numPr>
                <w:ilvl w:val="0"/>
                <w:numId w:val="5"/>
              </w:numPr>
              <w:rPr>
                <w:rFonts w:asciiTheme="minorEastAsia" w:hAnsiTheme="minorEastAsia" w:cstheme="minorEastAsia"/>
                <w:szCs w:val="21"/>
              </w:rPr>
            </w:pPr>
            <w:r>
              <w:rPr>
                <w:rFonts w:hint="eastAsia" w:asciiTheme="minorEastAsia" w:hAnsiTheme="minorEastAsia" w:cstheme="minorEastAsia"/>
                <w:szCs w:val="21"/>
              </w:rPr>
              <w:t>站内不应建地下和半地下室。</w:t>
            </w:r>
          </w:p>
          <w:p>
            <w:pPr>
              <w:pStyle w:val="12"/>
              <w:numPr>
                <w:ilvl w:val="0"/>
                <w:numId w:val="5"/>
              </w:numPr>
              <w:ind w:firstLineChars="0"/>
              <w:rPr>
                <w:rFonts w:asciiTheme="minorEastAsia" w:hAnsiTheme="minorEastAsia"/>
                <w:color w:val="111111"/>
                <w:szCs w:val="21"/>
              </w:rPr>
            </w:pPr>
            <w:r>
              <w:rPr>
                <w:rFonts w:asciiTheme="minorEastAsia" w:hAnsiTheme="minorEastAsia"/>
                <w:color w:val="111111"/>
                <w:szCs w:val="21"/>
              </w:rPr>
              <w:t>站房可设在站外民用建筑物内或与站外民用建筑物合建，并应符合下列规定：</w:t>
            </w:r>
            <w:r>
              <w:rPr>
                <w:rFonts w:hint="eastAsia" w:asciiTheme="minorEastAsia" w:hAnsiTheme="minorEastAsia"/>
                <w:color w:val="111111"/>
                <w:szCs w:val="21"/>
              </w:rPr>
              <w:t>①</w:t>
            </w:r>
            <w:r>
              <w:rPr>
                <w:rFonts w:asciiTheme="minorEastAsia" w:hAnsiTheme="minorEastAsia"/>
                <w:color w:val="111111"/>
                <w:szCs w:val="21"/>
              </w:rPr>
              <w:t>站房与民用建筑物之间不得有连接通道。</w:t>
            </w:r>
            <w:r>
              <w:rPr>
                <w:rFonts w:hint="eastAsia" w:asciiTheme="minorEastAsia" w:hAnsiTheme="minorEastAsia"/>
                <w:color w:val="111111"/>
                <w:szCs w:val="21"/>
              </w:rPr>
              <w:t>②</w:t>
            </w:r>
            <w:r>
              <w:rPr>
                <w:rFonts w:asciiTheme="minorEastAsia" w:hAnsiTheme="minorEastAsia"/>
                <w:color w:val="111111"/>
                <w:szCs w:val="21"/>
              </w:rPr>
              <w:t>站房应单独开设通向加油加气站的出入口。</w:t>
            </w:r>
            <w:r>
              <w:rPr>
                <w:rFonts w:hint="eastAsia" w:asciiTheme="minorEastAsia" w:hAnsiTheme="minorEastAsia"/>
                <w:color w:val="111111"/>
                <w:szCs w:val="21"/>
              </w:rPr>
              <w:t>③</w:t>
            </w:r>
            <w:r>
              <w:rPr>
                <w:rFonts w:asciiTheme="minorEastAsia" w:hAnsiTheme="minorEastAsia"/>
                <w:color w:val="111111"/>
                <w:szCs w:val="21"/>
              </w:rPr>
              <w:t>民用建筑物不得有直接通向加油加气站的出入口。</w:t>
            </w:r>
          </w:p>
          <w:p>
            <w:pPr>
              <w:numPr>
                <w:ilvl w:val="0"/>
                <w:numId w:val="5"/>
              </w:numPr>
              <w:rPr>
                <w:rFonts w:asciiTheme="minorEastAsia" w:hAnsiTheme="minorEastAsia" w:cstheme="minorEastAsia"/>
                <w:szCs w:val="21"/>
              </w:rPr>
            </w:pPr>
            <w:r>
              <w:rPr>
                <w:rFonts w:hint="eastAsia" w:asciiTheme="minorEastAsia" w:hAnsiTheme="minorEastAsia" w:cstheme="minorEastAsia"/>
                <w:szCs w:val="21"/>
              </w:rPr>
              <w:t>罩棚应采用不燃烧材料建造。</w:t>
            </w:r>
          </w:p>
          <w:p>
            <w:pPr>
              <w:numPr>
                <w:ilvl w:val="0"/>
                <w:numId w:val="5"/>
              </w:numPr>
              <w:rPr>
                <w:rFonts w:asciiTheme="minorEastAsia" w:hAnsiTheme="minorEastAsia" w:cstheme="minorEastAsia"/>
                <w:szCs w:val="21"/>
              </w:rPr>
            </w:pPr>
            <w:r>
              <w:rPr>
                <w:rFonts w:hint="eastAsia" w:asciiTheme="minorEastAsia" w:hAnsiTheme="minorEastAsia" w:cstheme="minorEastAsia"/>
                <w:szCs w:val="21"/>
              </w:rPr>
              <w:t>加油站罩棚、营业室均应设事故照明。</w:t>
            </w:r>
          </w:p>
          <w:p>
            <w:pPr>
              <w:numPr>
                <w:ilvl w:val="0"/>
                <w:numId w:val="5"/>
              </w:numPr>
              <w:rPr>
                <w:rFonts w:asciiTheme="minorEastAsia" w:hAnsiTheme="minorEastAsia" w:cstheme="minorEastAsia"/>
                <w:szCs w:val="21"/>
              </w:rPr>
            </w:pPr>
            <w:r>
              <w:rPr>
                <w:rFonts w:hint="eastAsia" w:asciiTheme="minorEastAsia" w:hAnsiTheme="minorEastAsia" w:cstheme="minorEastAsia"/>
                <w:szCs w:val="21"/>
              </w:rPr>
              <w:t>站房与餐厅、汽车服务、锅炉房、厨房、员工宿舍、司机休息室等设施之间，应设置无门窗洞口且耐火极限不低于3h的实体墙。</w:t>
            </w:r>
          </w:p>
          <w:p>
            <w:pPr>
              <w:numPr>
                <w:ilvl w:val="0"/>
                <w:numId w:val="5"/>
              </w:numPr>
              <w:adjustRightInd w:val="0"/>
              <w:snapToGrid w:val="0"/>
              <w:rPr>
                <w:rFonts w:asciiTheme="minorEastAsia" w:hAnsiTheme="minorEastAsia" w:cstheme="minorEastAsia"/>
                <w:szCs w:val="21"/>
              </w:rPr>
            </w:pPr>
            <w:r>
              <w:rPr>
                <w:rFonts w:hint="eastAsia" w:asciiTheme="minorEastAsia" w:hAnsiTheme="minorEastAsia" w:cstheme="minorEastAsia"/>
                <w:szCs w:val="21"/>
              </w:rPr>
              <w:t>加油岛应高出停车位的地坪0.15m~~0.2m；加油岛两端的宽度不应小于1.2m；加油岛上的罩棚立柱边缘距岛端部，不应小于0.6m。</w:t>
            </w:r>
          </w:p>
          <w:p>
            <w:pPr>
              <w:numPr>
                <w:ilvl w:val="0"/>
                <w:numId w:val="5"/>
              </w:numPr>
              <w:adjustRightInd w:val="0"/>
              <w:snapToGrid w:val="0"/>
              <w:rPr>
                <w:rFonts w:asciiTheme="minorEastAsia" w:hAnsiTheme="minorEastAsia" w:cstheme="minorEastAsia"/>
                <w:szCs w:val="21"/>
              </w:rPr>
            </w:pPr>
            <w:r>
              <w:rPr>
                <w:rFonts w:hint="eastAsia" w:asciiTheme="minorEastAsia" w:hAnsiTheme="minorEastAsia" w:cstheme="minorEastAsia"/>
                <w:szCs w:val="21"/>
              </w:rPr>
              <w:t>加油作业区内不得种植油性植物。</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468" w:type="pct"/>
            <w:vAlign w:val="center"/>
          </w:tcPr>
          <w:p>
            <w:pPr>
              <w:pStyle w:val="9"/>
              <w:snapToGrid w:val="0"/>
              <w:jc w:val="center"/>
              <w:rPr>
                <w:rFonts w:hint="eastAsia" w:asciiTheme="minorEastAsia" w:hAnsiTheme="minorEastAsia" w:cstheme="minorEastAsia"/>
                <w:sz w:val="21"/>
                <w:szCs w:val="21"/>
              </w:rPr>
            </w:pPr>
            <w:r>
              <w:rPr>
                <w:rFonts w:hint="eastAsia" w:asciiTheme="minorEastAsia" w:hAnsiTheme="minorEastAsia" w:cstheme="minorEastAsia"/>
                <w:sz w:val="21"/>
                <w:szCs w:val="21"/>
              </w:rPr>
              <w:t>电气、</w:t>
            </w:r>
          </w:p>
          <w:p>
            <w:pPr>
              <w:pStyle w:val="9"/>
              <w:snapToGrid w:val="0"/>
              <w:jc w:val="center"/>
              <w:rPr>
                <w:rFonts w:hint="eastAsia" w:asciiTheme="minorEastAsia" w:hAnsiTheme="minorEastAsia" w:cstheme="minorEastAsia"/>
                <w:sz w:val="21"/>
                <w:szCs w:val="21"/>
              </w:rPr>
            </w:pPr>
            <w:r>
              <w:rPr>
                <w:rFonts w:hint="eastAsia" w:asciiTheme="minorEastAsia" w:hAnsiTheme="minorEastAsia" w:cstheme="minorEastAsia"/>
                <w:sz w:val="21"/>
                <w:szCs w:val="21"/>
              </w:rPr>
              <w:t>防雷、</w:t>
            </w:r>
          </w:p>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防静电</w:t>
            </w:r>
          </w:p>
        </w:tc>
        <w:tc>
          <w:tcPr>
            <w:tcW w:w="2892" w:type="pct"/>
            <w:vAlign w:val="center"/>
          </w:tcPr>
          <w:p>
            <w:pPr>
              <w:numPr>
                <w:ilvl w:val="0"/>
                <w:numId w:val="6"/>
              </w:numPr>
              <w:rPr>
                <w:rFonts w:asciiTheme="minorEastAsia" w:hAnsiTheme="minorEastAsia" w:cstheme="minorEastAsia"/>
                <w:szCs w:val="21"/>
              </w:rPr>
            </w:pPr>
            <w:r>
              <w:rPr>
                <w:rFonts w:hint="eastAsia" w:asciiTheme="minorEastAsia" w:hAnsiTheme="minorEastAsia" w:cstheme="minorEastAsia"/>
                <w:szCs w:val="21"/>
              </w:rPr>
              <w:t>爆炸危险区域内的电气设备、电力线路应符合现行国家标准《爆炸和火灾危险环境电力装置设计规范》GB50058的有关规定。</w:t>
            </w:r>
          </w:p>
          <w:p>
            <w:pPr>
              <w:numPr>
                <w:ilvl w:val="0"/>
                <w:numId w:val="6"/>
              </w:numPr>
              <w:rPr>
                <w:rFonts w:asciiTheme="minorEastAsia" w:hAnsiTheme="minorEastAsia" w:cstheme="minorEastAsia"/>
                <w:szCs w:val="21"/>
              </w:rPr>
            </w:pPr>
            <w:r>
              <w:rPr>
                <w:rFonts w:hint="eastAsia" w:asciiTheme="minorEastAsia" w:hAnsiTheme="minorEastAsia" w:cstheme="minorEastAsia"/>
                <w:szCs w:val="21"/>
              </w:rPr>
              <w:t>在爆炸危险区域内工艺管道上的法兰、胶管两端等连接处，应用金属线跨接。</w:t>
            </w:r>
          </w:p>
          <w:p>
            <w:pPr>
              <w:numPr>
                <w:ilvl w:val="0"/>
                <w:numId w:val="6"/>
              </w:numPr>
              <w:rPr>
                <w:rFonts w:asciiTheme="minorEastAsia" w:hAnsiTheme="minorEastAsia" w:cstheme="minorEastAsia"/>
                <w:szCs w:val="21"/>
              </w:rPr>
            </w:pPr>
            <w:r>
              <w:rPr>
                <w:rFonts w:hint="eastAsia" w:asciiTheme="minorEastAsia" w:hAnsiTheme="minorEastAsia" w:cstheme="minorEastAsia"/>
                <w:szCs w:val="21"/>
              </w:rPr>
              <w:t>加油站内不得随意拉设临时电气线路。</w:t>
            </w:r>
          </w:p>
          <w:p>
            <w:pPr>
              <w:numPr>
                <w:ilvl w:val="0"/>
                <w:numId w:val="6"/>
              </w:numPr>
              <w:rPr>
                <w:rFonts w:asciiTheme="minorEastAsia" w:hAnsiTheme="minorEastAsia" w:cstheme="minorEastAsia"/>
                <w:szCs w:val="21"/>
              </w:rPr>
            </w:pPr>
            <w:r>
              <w:rPr>
                <w:rFonts w:hint="eastAsia" w:asciiTheme="minorEastAsia" w:hAnsiTheme="minorEastAsia" w:cstheme="minorEastAsia"/>
                <w:szCs w:val="21"/>
              </w:rPr>
              <w:t>配电柜为非密闭落地结构时，配电间应设置防小动物挡板，高度不得低于500mm。</w:t>
            </w:r>
          </w:p>
          <w:p>
            <w:pPr>
              <w:numPr>
                <w:ilvl w:val="0"/>
                <w:numId w:val="6"/>
              </w:numPr>
              <w:rPr>
                <w:rFonts w:asciiTheme="minorEastAsia" w:hAnsiTheme="minorEastAsia" w:cstheme="minorEastAsia"/>
                <w:szCs w:val="21"/>
              </w:rPr>
            </w:pPr>
            <w:r>
              <w:rPr>
                <w:rFonts w:hint="eastAsia" w:asciiTheme="minorEastAsia" w:hAnsiTheme="minorEastAsia" w:cstheme="minorEastAsia"/>
                <w:szCs w:val="21"/>
              </w:rPr>
              <w:t>加油站应在控制室或值班室内及加油现场（加油机）设置紧急启停开关</w:t>
            </w:r>
          </w:p>
          <w:p>
            <w:pPr>
              <w:pStyle w:val="12"/>
              <w:numPr>
                <w:ilvl w:val="0"/>
                <w:numId w:val="6"/>
              </w:numPr>
              <w:ind w:firstLineChars="0"/>
              <w:jc w:val="left"/>
              <w:rPr>
                <w:rFonts w:asciiTheme="minorEastAsia" w:hAnsiTheme="minorEastAsia"/>
                <w:szCs w:val="21"/>
              </w:rPr>
            </w:pPr>
            <w:r>
              <w:rPr>
                <w:rFonts w:asciiTheme="minorEastAsia" w:hAnsiTheme="minorEastAsia"/>
                <w:szCs w:val="21"/>
              </w:rPr>
              <w:t>加油加气站内爆炸危险区域以外的照明灯具，可选用非防爆型。罩棚下处于非爆炸危险区域的灯具防护等级不低于IP 44级的照明灯具。</w:t>
            </w:r>
          </w:p>
          <w:p>
            <w:pPr>
              <w:pStyle w:val="12"/>
              <w:numPr>
                <w:ilvl w:val="0"/>
                <w:numId w:val="6"/>
              </w:numPr>
              <w:ind w:firstLineChars="0"/>
              <w:jc w:val="left"/>
              <w:rPr>
                <w:rFonts w:hint="eastAsia" w:asciiTheme="minorEastAsia" w:hAnsiTheme="minorEastAsia"/>
                <w:szCs w:val="21"/>
              </w:rPr>
            </w:pPr>
            <w:r>
              <w:rPr>
                <w:rFonts w:hint="eastAsia" w:asciiTheme="minorEastAsia" w:hAnsiTheme="minorEastAsia"/>
                <w:bCs/>
                <w:szCs w:val="21"/>
              </w:rPr>
              <w:t>加油作业区内的电缆沟内应充沙填实。</w:t>
            </w:r>
          </w:p>
          <w:p>
            <w:pPr>
              <w:pStyle w:val="12"/>
              <w:numPr>
                <w:numId w:val="0"/>
              </w:numPr>
              <w:ind w:leftChars="0"/>
              <w:rPr>
                <w:rFonts w:asciiTheme="minorEastAsia" w:hAnsiTheme="minorEastAsia" w:cstheme="minorEastAsia"/>
                <w:szCs w:val="21"/>
                <w:highlight w:val="green"/>
              </w:rPr>
            </w:pPr>
            <w:r>
              <w:rPr>
                <w:rFonts w:hint="eastAsia" w:asciiTheme="minorEastAsia" w:hAnsiTheme="minorEastAsia"/>
                <w:bCs/>
                <w:szCs w:val="21"/>
                <w:lang w:val="en-US" w:eastAsia="zh-CN"/>
              </w:rPr>
              <w:t xml:space="preserve">8.  </w:t>
            </w:r>
            <w:r>
              <w:rPr>
                <w:rFonts w:hint="eastAsia" w:asciiTheme="minorEastAsia" w:hAnsiTheme="minorEastAsia"/>
                <w:bCs/>
                <w:szCs w:val="21"/>
              </w:rPr>
              <w:t>在供</w:t>
            </w:r>
            <w:r>
              <w:rPr>
                <w:rFonts w:hint="eastAsia" w:asciiTheme="minorEastAsia" w:hAnsiTheme="minorEastAsia"/>
                <w:szCs w:val="21"/>
              </w:rPr>
              <w:t>配电系统的电源端应安装与设备耐压水平相适应的过电压（电涌）保护器。</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w:t>
            </w:r>
          </w:p>
        </w:tc>
        <w:tc>
          <w:tcPr>
            <w:tcW w:w="468" w:type="pct"/>
            <w:vAlign w:val="center"/>
          </w:tcPr>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防渗措施</w:t>
            </w:r>
          </w:p>
        </w:tc>
        <w:tc>
          <w:tcPr>
            <w:tcW w:w="2892" w:type="pct"/>
            <w:vAlign w:val="center"/>
          </w:tcPr>
          <w:p>
            <w:pPr>
              <w:numPr>
                <w:ilvl w:val="0"/>
                <w:numId w:val="7"/>
              </w:numPr>
              <w:rPr>
                <w:rFonts w:asciiTheme="minorEastAsia" w:hAnsiTheme="minorEastAsia" w:cstheme="minorEastAsia"/>
                <w:szCs w:val="21"/>
              </w:rPr>
            </w:pPr>
            <w:r>
              <w:rPr>
                <w:rFonts w:ascii="Segoe UI" w:hAnsi="Segoe UI" w:eastAsia="新宋体" w:cs="Segoe UI"/>
                <w:szCs w:val="21"/>
              </w:rPr>
              <w:t>双层油罐、防渗罐池应设渗漏检测立管，渗漏检测宜采用在线监测系统</w:t>
            </w:r>
            <w:r>
              <w:rPr>
                <w:rFonts w:hint="eastAsia" w:ascii="Segoe UI" w:hAnsi="Segoe UI" w:eastAsia="新宋体" w:cs="Segoe UI"/>
                <w:szCs w:val="21"/>
                <w:lang w:eastAsia="zh-CN"/>
              </w:rPr>
              <w:t>。</w:t>
            </w:r>
          </w:p>
          <w:p>
            <w:pPr>
              <w:numPr>
                <w:ilvl w:val="0"/>
                <w:numId w:val="7"/>
              </w:numPr>
              <w:rPr>
                <w:rFonts w:asciiTheme="minorEastAsia" w:hAnsiTheme="minorEastAsia" w:cstheme="minorEastAsia"/>
                <w:szCs w:val="21"/>
              </w:rPr>
            </w:pPr>
            <w:r>
              <w:rPr>
                <w:rFonts w:hint="eastAsia" w:asciiTheme="minorEastAsia" w:hAnsiTheme="minorEastAsia" w:cstheme="minorEastAsia"/>
                <w:szCs w:val="21"/>
              </w:rPr>
              <w:t>装有潜油泵的油罐人孔操作井、卸油口井、加油机底槽应采取防渗措施。</w:t>
            </w:r>
          </w:p>
          <w:p>
            <w:pPr>
              <w:numPr>
                <w:ilvl w:val="0"/>
                <w:numId w:val="7"/>
              </w:numP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szCs w:val="21"/>
              </w:rPr>
              <w:t>采取防渗漏措施的加油站，其埋地加油管道应采用双层管道</w:t>
            </w:r>
            <w:r>
              <w:rPr>
                <w:rFonts w:hint="eastAsia" w:asciiTheme="minorEastAsia" w:hAnsiTheme="minorEastAsia"/>
                <w:szCs w:val="21"/>
              </w:rPr>
              <w:t>，</w:t>
            </w:r>
            <w:r>
              <w:rPr>
                <w:rFonts w:asciiTheme="minorEastAsia" w:hAnsiTheme="minorEastAsia"/>
                <w:szCs w:val="21"/>
              </w:rPr>
              <w:t>双层管道系统的最低点应设检</w:t>
            </w:r>
            <w:r>
              <w:rPr>
                <w:rFonts w:hint="eastAsia" w:asciiTheme="minorEastAsia" w:hAnsiTheme="minorEastAsia" w:eastAsiaTheme="minorEastAsia" w:cstheme="minorEastAsia"/>
                <w:kern w:val="2"/>
                <w:sz w:val="21"/>
                <w:szCs w:val="21"/>
                <w:lang w:val="en-US" w:eastAsia="zh-CN" w:bidi="ar-SA"/>
              </w:rPr>
              <w:t>漏点（应设置在操作井内）。</w:t>
            </w:r>
          </w:p>
          <w:p>
            <w:pPr>
              <w:numPr>
                <w:ilvl w:val="0"/>
                <w:numId w:val="7"/>
              </w:numPr>
              <w:rPr>
                <w:rFonts w:asciiTheme="minorEastAsia" w:hAnsiTheme="minorEastAsia" w:cstheme="minorEastAsia"/>
                <w:szCs w:val="21"/>
              </w:rPr>
            </w:pPr>
            <w:r>
              <w:rPr>
                <w:rFonts w:hint="eastAsia" w:asciiTheme="minorEastAsia" w:hAnsiTheme="minorEastAsia" w:eastAsiaTheme="minorEastAsia" w:cstheme="minorEastAsia"/>
                <w:kern w:val="2"/>
                <w:sz w:val="21"/>
                <w:szCs w:val="21"/>
                <w:lang w:val="en-US" w:eastAsia="zh-CN" w:bidi="ar-SA"/>
              </w:rPr>
              <w:t>防渗罐池的各隔池应设检测立管，检测口应有防止雨水、油污、杂物侵入的保护盖和标识。</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468" w:type="pct"/>
            <w:vAlign w:val="center"/>
          </w:tcPr>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消防</w:t>
            </w:r>
          </w:p>
        </w:tc>
        <w:tc>
          <w:tcPr>
            <w:tcW w:w="2892" w:type="pct"/>
            <w:vAlign w:val="center"/>
          </w:tcPr>
          <w:p>
            <w:pPr>
              <w:pStyle w:val="12"/>
              <w:numPr>
                <w:ilvl w:val="0"/>
                <w:numId w:val="8"/>
              </w:numPr>
              <w:ind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每2台加油机应配置不少于2具4kg手提式干粉灭火器，或1具4kg手提式干粉灭火器和1具6L泡沫灭火器。</w:t>
            </w:r>
          </w:p>
          <w:p>
            <w:pPr>
              <w:pStyle w:val="12"/>
              <w:numPr>
                <w:ilvl w:val="0"/>
                <w:numId w:val="8"/>
              </w:numPr>
              <w:ind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一、二级加油站应配置灭火毯5块、沙子2m3；三级加油站应配置灭火毯不少于2块、沙子2m3。</w:t>
            </w:r>
          </w:p>
          <w:p>
            <w:pPr>
              <w:pStyle w:val="12"/>
              <w:numPr>
                <w:ilvl w:val="0"/>
                <w:numId w:val="8"/>
              </w:numPr>
              <w:ind w:firstLineChars="0"/>
              <w:rPr>
                <w:rFonts w:ascii="Segoe UI" w:hAnsi="Segoe UI" w:eastAsia="新宋体" w:cs="Segoe UI"/>
                <w:szCs w:val="21"/>
              </w:rPr>
            </w:pPr>
            <w:r>
              <w:rPr>
                <w:rFonts w:hint="eastAsia" w:asciiTheme="minorEastAsia" w:hAnsiTheme="minorEastAsia" w:eastAsiaTheme="minorEastAsia" w:cstheme="minorEastAsia"/>
                <w:kern w:val="2"/>
                <w:sz w:val="21"/>
                <w:szCs w:val="21"/>
                <w:lang w:val="en-US" w:eastAsia="zh-CN" w:bidi="ar-SA"/>
              </w:rPr>
              <w:t>加油站内独立的配电间或配电箱应选择磷酸铵盐干粉灭火器、碳酸氢钠干粉灭火器、卤代烷灭火器或二氧化碳灭火器。</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w:t>
            </w:r>
          </w:p>
        </w:tc>
        <w:tc>
          <w:tcPr>
            <w:tcW w:w="468" w:type="pct"/>
            <w:vAlign w:val="center"/>
          </w:tcPr>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安全</w:t>
            </w:r>
          </w:p>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标志</w:t>
            </w:r>
          </w:p>
        </w:tc>
        <w:tc>
          <w:tcPr>
            <w:tcW w:w="2892" w:type="pct"/>
            <w:vAlign w:val="center"/>
          </w:tcPr>
          <w:p>
            <w:pPr>
              <w:numPr>
                <w:ilvl w:val="0"/>
                <w:numId w:val="9"/>
              </w:numPr>
              <w:rPr>
                <w:rFonts w:asciiTheme="minorEastAsia" w:hAnsiTheme="minorEastAsia" w:cstheme="minorEastAsia"/>
                <w:szCs w:val="21"/>
              </w:rPr>
            </w:pPr>
            <w:r>
              <w:rPr>
                <w:rFonts w:hint="eastAsia" w:asciiTheme="minorEastAsia" w:hAnsiTheme="minorEastAsia" w:cstheme="minorEastAsia"/>
                <w:szCs w:val="21"/>
              </w:rPr>
              <w:t>加油站出入口放置“入口”、“出口”标志</w:t>
            </w:r>
            <w:r>
              <w:rPr>
                <w:rFonts w:hint="eastAsia" w:asciiTheme="minorEastAsia" w:hAnsiTheme="minorEastAsia" w:cstheme="minorEastAsia"/>
                <w:szCs w:val="21"/>
                <w:lang w:eastAsia="zh-CN"/>
              </w:rPr>
              <w:t>。</w:t>
            </w:r>
          </w:p>
          <w:p>
            <w:pPr>
              <w:numPr>
                <w:ilvl w:val="0"/>
                <w:numId w:val="9"/>
              </w:numPr>
              <w:rPr>
                <w:rFonts w:asciiTheme="minorEastAsia" w:hAnsiTheme="minorEastAsia" w:cstheme="minorEastAsia"/>
                <w:szCs w:val="21"/>
              </w:rPr>
            </w:pPr>
            <w:r>
              <w:rPr>
                <w:rFonts w:hint="eastAsia" w:asciiTheme="minorEastAsia" w:hAnsiTheme="minorEastAsia" w:cstheme="minorEastAsia"/>
                <w:szCs w:val="21"/>
              </w:rPr>
              <w:t>加油站出入口及周边、作业防火区内，应设置“禁止烟火”、“禁止使用手机”标志</w:t>
            </w:r>
            <w:r>
              <w:rPr>
                <w:rFonts w:hint="eastAsia" w:asciiTheme="minorEastAsia" w:hAnsiTheme="minorEastAsia" w:cstheme="minorEastAsia"/>
                <w:szCs w:val="21"/>
                <w:lang w:eastAsia="zh-CN"/>
              </w:rPr>
              <w:t>。</w:t>
            </w:r>
          </w:p>
        </w:tc>
        <w:tc>
          <w:tcPr>
            <w:tcW w:w="1321" w:type="pct"/>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317" w:type="pct"/>
            <w:vAlign w:val="center"/>
          </w:tcPr>
          <w:p>
            <w:pPr>
              <w:rPr>
                <w:rFonts w:asciiTheme="minorEastAsia" w:hAnsiTheme="minorEastAsia" w:cstheme="minorEastAsia"/>
                <w:szCs w:val="21"/>
              </w:rPr>
            </w:pPr>
            <w:r>
              <w:rPr>
                <w:rFonts w:hint="eastAsia" w:asciiTheme="minorEastAsia" w:hAnsiTheme="minorEastAsia" w:cstheme="minorEastAsia"/>
                <w:szCs w:val="21"/>
              </w:rPr>
              <w:t>10</w:t>
            </w:r>
          </w:p>
        </w:tc>
        <w:tc>
          <w:tcPr>
            <w:tcW w:w="468" w:type="pct"/>
            <w:vAlign w:val="center"/>
          </w:tcPr>
          <w:p>
            <w:pPr>
              <w:jc w:val="center"/>
              <w:rPr>
                <w:rFonts w:asciiTheme="minorEastAsia" w:hAnsiTheme="minorEastAsia" w:cstheme="minorEastAsia"/>
                <w:color w:val="000000"/>
                <w:szCs w:val="21"/>
              </w:rPr>
            </w:pPr>
            <w:r>
              <w:rPr>
                <w:rFonts w:hint="eastAsia" w:asciiTheme="minorEastAsia" w:hAnsiTheme="minorEastAsia" w:cstheme="minorEastAsia"/>
                <w:szCs w:val="21"/>
              </w:rPr>
              <w:t xml:space="preserve"> 卸油 </w:t>
            </w:r>
          </w:p>
        </w:tc>
        <w:tc>
          <w:tcPr>
            <w:tcW w:w="2892" w:type="pct"/>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1．油罐车卸油必须采用密闭卸油方式。</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2．各卸油接口及油气回收接口，应有明显的标识。</w:t>
            </w:r>
          </w:p>
          <w:p>
            <w:pPr>
              <w:adjustRightInd w:val="0"/>
              <w:snapToGrid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3．卸油接口应装设快速接头及密封盖。</w:t>
            </w:r>
          </w:p>
          <w:p>
            <w:pPr>
              <w:adjustRightInd w:val="0"/>
              <w:snapToGrid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4．卸车场地应设防静电接地装置及静电接地仪。固定接地装置应设置在爆炸危险1区外（距汽油卸油口0.5米）。</w:t>
            </w:r>
          </w:p>
          <w:p>
            <w:pPr>
              <w:rPr>
                <w:rFonts w:asciiTheme="minorEastAsia" w:hAnsiTheme="minorEastAsia" w:cstheme="minorEastAsia"/>
                <w:szCs w:val="21"/>
              </w:rPr>
            </w:pPr>
            <w:r>
              <w:rPr>
                <w:rFonts w:hint="eastAsia" w:asciiTheme="minorEastAsia" w:hAnsiTheme="minorEastAsia" w:eastAsiaTheme="minorEastAsia" w:cstheme="minorEastAsia"/>
                <w:kern w:val="2"/>
                <w:sz w:val="21"/>
                <w:szCs w:val="21"/>
                <w:lang w:val="en-US" w:eastAsia="zh-CN" w:bidi="ar-SA"/>
              </w:rPr>
              <w:t>5．卸油口未使用时应加锁。</w:t>
            </w:r>
          </w:p>
        </w:tc>
        <w:tc>
          <w:tcPr>
            <w:tcW w:w="1321" w:type="pct"/>
            <w:vAlign w:val="center"/>
          </w:tcPr>
          <w:p>
            <w:pPr>
              <w:ind w:left="227"/>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317"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468" w:type="pct"/>
            <w:vAlign w:val="center"/>
          </w:tcPr>
          <w:p>
            <w:pPr>
              <w:pStyle w:val="9"/>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加油</w:t>
            </w:r>
          </w:p>
        </w:tc>
        <w:tc>
          <w:tcPr>
            <w:tcW w:w="2892" w:type="pct"/>
            <w:vAlign w:val="center"/>
          </w:tcPr>
          <w:p>
            <w:pPr>
              <w:numPr>
                <w:ilvl w:val="0"/>
                <w:numId w:val="10"/>
              </w:numPr>
              <w:rPr>
                <w:rFonts w:asciiTheme="minorEastAsia" w:hAnsiTheme="minorEastAsia" w:cstheme="minorEastAsia"/>
                <w:szCs w:val="21"/>
              </w:rPr>
            </w:pPr>
            <w:r>
              <w:rPr>
                <w:rFonts w:hint="eastAsia" w:asciiTheme="minorEastAsia" w:hAnsiTheme="minorEastAsia" w:cstheme="minorEastAsia"/>
                <w:szCs w:val="21"/>
              </w:rPr>
              <w:t>员工工作期间应穿着防静电工作服。</w:t>
            </w:r>
          </w:p>
          <w:p>
            <w:pPr>
              <w:numPr>
                <w:ilvl w:val="0"/>
                <w:numId w:val="10"/>
              </w:numPr>
              <w:rPr>
                <w:rFonts w:asciiTheme="minorEastAsia" w:hAnsiTheme="minorEastAsia" w:cstheme="minorEastAsia"/>
                <w:szCs w:val="21"/>
              </w:rPr>
            </w:pPr>
            <w:r>
              <w:rPr>
                <w:rFonts w:hint="eastAsia" w:asciiTheme="minorEastAsia" w:hAnsiTheme="minorEastAsia" w:cstheme="minorEastAsia"/>
                <w:szCs w:val="21"/>
              </w:rPr>
              <w:t>机动车辆加油时应熄火。</w:t>
            </w:r>
          </w:p>
          <w:p>
            <w:pPr>
              <w:numPr>
                <w:ilvl w:val="0"/>
                <w:numId w:val="10"/>
              </w:numPr>
              <w:rPr>
                <w:rFonts w:asciiTheme="minorEastAsia" w:hAnsiTheme="minorEastAsia" w:cstheme="minorEastAsia"/>
                <w:szCs w:val="21"/>
              </w:rPr>
            </w:pPr>
            <w:r>
              <w:rPr>
                <w:rFonts w:hint="eastAsia" w:asciiTheme="minorEastAsia" w:hAnsiTheme="minorEastAsia" w:cstheme="minorEastAsia"/>
                <w:szCs w:val="21"/>
              </w:rPr>
              <w:t>客车进站加油时不得载有乘客。</w:t>
            </w:r>
          </w:p>
          <w:p>
            <w:pPr>
              <w:numPr>
                <w:ilvl w:val="0"/>
                <w:numId w:val="10"/>
              </w:numPr>
              <w:rPr>
                <w:rFonts w:asciiTheme="minorEastAsia" w:hAnsiTheme="minorEastAsia" w:cstheme="minorEastAsia"/>
                <w:szCs w:val="21"/>
              </w:rPr>
            </w:pPr>
            <w:r>
              <w:rPr>
                <w:rFonts w:hint="eastAsia" w:asciiTheme="minorEastAsia" w:hAnsiTheme="minorEastAsia" w:cstheme="minorEastAsia"/>
                <w:szCs w:val="21"/>
              </w:rPr>
              <w:t>禁止使用绝缘性容器加注汽油</w:t>
            </w:r>
            <w:r>
              <w:rPr>
                <w:rFonts w:hint="eastAsia" w:asciiTheme="minorEastAsia" w:hAnsiTheme="minorEastAsia" w:cstheme="minorEastAsia"/>
                <w:szCs w:val="21"/>
                <w:lang w:eastAsia="zh-CN"/>
              </w:rPr>
              <w:t>。</w:t>
            </w:r>
            <w:bookmarkStart w:id="0" w:name="_GoBack"/>
            <w:bookmarkEnd w:id="0"/>
          </w:p>
          <w:p>
            <w:pPr>
              <w:numPr>
                <w:ilvl w:val="0"/>
                <w:numId w:val="10"/>
              </w:numPr>
              <w:rPr>
                <w:rFonts w:asciiTheme="minorEastAsia" w:hAnsiTheme="minorEastAsia" w:cstheme="minorEastAsia"/>
                <w:szCs w:val="21"/>
              </w:rPr>
            </w:pPr>
            <w:r>
              <w:rPr>
                <w:rFonts w:hint="eastAsia" w:asciiTheme="minorEastAsia" w:hAnsiTheme="minorEastAsia" w:cstheme="minorEastAsia"/>
                <w:szCs w:val="21"/>
              </w:rPr>
              <w:t>摩托车加油后，应用人力将摩托车推离加油岛4.5m后，方可启动。</w:t>
            </w:r>
          </w:p>
        </w:tc>
        <w:tc>
          <w:tcPr>
            <w:tcW w:w="1321" w:type="pct"/>
            <w:vAlign w:val="center"/>
          </w:tcPr>
          <w:p>
            <w:pPr>
              <w:jc w:val="center"/>
              <w:rPr>
                <w:rFonts w:asciiTheme="minorEastAsia" w:hAnsiTheme="minorEastAsia" w:cstheme="minorEastAsia"/>
                <w:szCs w:val="21"/>
              </w:rPr>
            </w:pPr>
          </w:p>
        </w:tc>
      </w:tr>
    </w:tbl>
    <w:p>
      <w:pPr>
        <w:adjustRightInd w:val="0"/>
        <w:snapToGrid w:val="0"/>
        <w:jc w:val="left"/>
        <w:rPr>
          <w:rFonts w:ascii="Segoe UI" w:hAnsi="Segoe UI" w:eastAsia="黑体" w:cs="Segoe UI"/>
          <w:szCs w:val="21"/>
        </w:rPr>
      </w:pPr>
    </w:p>
    <w:p>
      <w:pPr>
        <w:rPr>
          <w:rFonts w:asciiTheme="minorEastAsia" w:hAnsiTheme="minorEastAsia" w:cstheme="minorEastAsia"/>
          <w:szCs w:val="21"/>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1FDB2"/>
    <w:multiLevelType w:val="singleLevel"/>
    <w:tmpl w:val="97F1FDB2"/>
    <w:lvl w:ilvl="0" w:tentative="0">
      <w:start w:val="1"/>
      <w:numFmt w:val="decimal"/>
      <w:lvlText w:val="%1."/>
      <w:lvlJc w:val="left"/>
      <w:pPr>
        <w:ind w:left="425" w:hanging="425"/>
      </w:pPr>
      <w:rPr>
        <w:rFonts w:hint="default"/>
      </w:rPr>
    </w:lvl>
  </w:abstractNum>
  <w:abstractNum w:abstractNumId="1">
    <w:nsid w:val="A9A94233"/>
    <w:multiLevelType w:val="singleLevel"/>
    <w:tmpl w:val="A9A94233"/>
    <w:lvl w:ilvl="0" w:tentative="0">
      <w:start w:val="1"/>
      <w:numFmt w:val="decimal"/>
      <w:suff w:val="space"/>
      <w:lvlText w:val="%1."/>
      <w:lvlJc w:val="left"/>
    </w:lvl>
  </w:abstractNum>
  <w:abstractNum w:abstractNumId="2">
    <w:nsid w:val="C214E03C"/>
    <w:multiLevelType w:val="singleLevel"/>
    <w:tmpl w:val="C214E03C"/>
    <w:lvl w:ilvl="0" w:tentative="0">
      <w:start w:val="1"/>
      <w:numFmt w:val="decimal"/>
      <w:lvlText w:val="%1."/>
      <w:lvlJc w:val="left"/>
      <w:pPr>
        <w:ind w:left="425" w:hanging="425"/>
      </w:pPr>
      <w:rPr>
        <w:rFonts w:hint="default"/>
      </w:rPr>
    </w:lvl>
  </w:abstractNum>
  <w:abstractNum w:abstractNumId="3">
    <w:nsid w:val="DE0A96A3"/>
    <w:multiLevelType w:val="singleLevel"/>
    <w:tmpl w:val="DE0A96A3"/>
    <w:lvl w:ilvl="0" w:tentative="0">
      <w:start w:val="1"/>
      <w:numFmt w:val="decimal"/>
      <w:lvlText w:val="%1."/>
      <w:lvlJc w:val="left"/>
      <w:pPr>
        <w:ind w:left="425" w:hanging="425"/>
      </w:pPr>
      <w:rPr>
        <w:rFonts w:hint="default"/>
      </w:rPr>
    </w:lvl>
  </w:abstractNum>
  <w:abstractNum w:abstractNumId="4">
    <w:nsid w:val="E09E7811"/>
    <w:multiLevelType w:val="singleLevel"/>
    <w:tmpl w:val="E09E7811"/>
    <w:lvl w:ilvl="0" w:tentative="0">
      <w:start w:val="1"/>
      <w:numFmt w:val="decimal"/>
      <w:lvlText w:val="%1."/>
      <w:lvlJc w:val="left"/>
      <w:pPr>
        <w:ind w:left="425" w:hanging="425"/>
      </w:pPr>
      <w:rPr>
        <w:rFonts w:hint="default"/>
      </w:rPr>
    </w:lvl>
  </w:abstractNum>
  <w:abstractNum w:abstractNumId="5">
    <w:nsid w:val="EBD6D26F"/>
    <w:multiLevelType w:val="singleLevel"/>
    <w:tmpl w:val="EBD6D26F"/>
    <w:lvl w:ilvl="0" w:tentative="0">
      <w:start w:val="1"/>
      <w:numFmt w:val="decimal"/>
      <w:lvlText w:val="%1."/>
      <w:lvlJc w:val="left"/>
      <w:pPr>
        <w:ind w:left="425" w:hanging="425"/>
      </w:pPr>
      <w:rPr>
        <w:rFonts w:hint="default"/>
      </w:rPr>
    </w:lvl>
  </w:abstractNum>
  <w:abstractNum w:abstractNumId="6">
    <w:nsid w:val="05540A8F"/>
    <w:multiLevelType w:val="multilevel"/>
    <w:tmpl w:val="05540A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4C651A"/>
    <w:multiLevelType w:val="singleLevel"/>
    <w:tmpl w:val="144C651A"/>
    <w:lvl w:ilvl="0" w:tentative="0">
      <w:start w:val="1"/>
      <w:numFmt w:val="decimal"/>
      <w:lvlText w:val="%1."/>
      <w:lvlJc w:val="left"/>
      <w:pPr>
        <w:ind w:left="425" w:hanging="425"/>
      </w:pPr>
      <w:rPr>
        <w:rFonts w:hint="default"/>
        <w:b w:val="0"/>
      </w:rPr>
    </w:lvl>
  </w:abstractNum>
  <w:abstractNum w:abstractNumId="8">
    <w:nsid w:val="20AB86DF"/>
    <w:multiLevelType w:val="singleLevel"/>
    <w:tmpl w:val="20AB86DF"/>
    <w:lvl w:ilvl="0" w:tentative="0">
      <w:start w:val="1"/>
      <w:numFmt w:val="decimal"/>
      <w:lvlText w:val="%1."/>
      <w:lvlJc w:val="left"/>
      <w:pPr>
        <w:ind w:left="425" w:hanging="425"/>
      </w:pPr>
      <w:rPr>
        <w:rFonts w:hint="default"/>
      </w:rPr>
    </w:lvl>
  </w:abstractNum>
  <w:abstractNum w:abstractNumId="9">
    <w:nsid w:val="768C2852"/>
    <w:multiLevelType w:val="multilevel"/>
    <w:tmpl w:val="768C28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4"/>
  </w:num>
  <w:num w:numId="4">
    <w:abstractNumId w:val="5"/>
  </w:num>
  <w:num w:numId="5">
    <w:abstractNumId w:val="0"/>
  </w:num>
  <w:num w:numId="6">
    <w:abstractNumId w:val="3"/>
  </w:num>
  <w:num w:numId="7">
    <w:abstractNumId w:val="9"/>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3F41D0D"/>
    <w:rsid w:val="000315C0"/>
    <w:rsid w:val="000851D8"/>
    <w:rsid w:val="000C3369"/>
    <w:rsid w:val="00111BFE"/>
    <w:rsid w:val="0011560E"/>
    <w:rsid w:val="0016481F"/>
    <w:rsid w:val="001A1286"/>
    <w:rsid w:val="001D08F0"/>
    <w:rsid w:val="0020032E"/>
    <w:rsid w:val="0020615A"/>
    <w:rsid w:val="003E06F2"/>
    <w:rsid w:val="00400CED"/>
    <w:rsid w:val="004337FD"/>
    <w:rsid w:val="004D381E"/>
    <w:rsid w:val="005814AB"/>
    <w:rsid w:val="00597D96"/>
    <w:rsid w:val="005B17BD"/>
    <w:rsid w:val="005F7952"/>
    <w:rsid w:val="006B0E61"/>
    <w:rsid w:val="006E0C4D"/>
    <w:rsid w:val="00795D4F"/>
    <w:rsid w:val="008135D3"/>
    <w:rsid w:val="008C1D4A"/>
    <w:rsid w:val="009055DA"/>
    <w:rsid w:val="00937741"/>
    <w:rsid w:val="00982189"/>
    <w:rsid w:val="009C69A8"/>
    <w:rsid w:val="009D29A8"/>
    <w:rsid w:val="00A04331"/>
    <w:rsid w:val="00A2149C"/>
    <w:rsid w:val="00B70E87"/>
    <w:rsid w:val="00BC7E18"/>
    <w:rsid w:val="00C17DFE"/>
    <w:rsid w:val="00C81B92"/>
    <w:rsid w:val="00CA22A3"/>
    <w:rsid w:val="00CC2073"/>
    <w:rsid w:val="00D104CB"/>
    <w:rsid w:val="00D17CFA"/>
    <w:rsid w:val="00E078D7"/>
    <w:rsid w:val="00E273BA"/>
    <w:rsid w:val="00E73733"/>
    <w:rsid w:val="00E75C12"/>
    <w:rsid w:val="00E87E9C"/>
    <w:rsid w:val="00EB7AA9"/>
    <w:rsid w:val="00EC006B"/>
    <w:rsid w:val="00F4556F"/>
    <w:rsid w:val="00F55B2E"/>
    <w:rsid w:val="118A2891"/>
    <w:rsid w:val="13F41D0D"/>
    <w:rsid w:val="19446C45"/>
    <w:rsid w:val="22B11B9E"/>
    <w:rsid w:val="3AC277C8"/>
    <w:rsid w:val="55721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360" w:lineRule="auto"/>
      <w:jc w:val="center"/>
      <w:outlineLvl w:val="2"/>
    </w:pPr>
    <w:rPr>
      <w:rFonts w:eastAsia="黑体"/>
      <w:bCs/>
      <w:sz w:val="28"/>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360" w:lineRule="auto"/>
    </w:pPr>
    <w:rPr>
      <w:rFonts w:ascii="Times New Roman" w:hAnsi="Times New Roman" w:eastAsia="宋体" w:cs="Times New Roman"/>
      <w:spacing w:val="20"/>
      <w:sz w:val="24"/>
      <w:szCs w:val="20"/>
      <w:u w:val="single"/>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rPr>
  </w:style>
  <w:style w:type="paragraph" w:customStyle="1" w:styleId="9">
    <w:name w:val="Defaul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character" w:customStyle="1" w:styleId="10">
    <w:name w:val="页眉 Char"/>
    <w:basedOn w:val="7"/>
    <w:link w:val="5"/>
    <w:uiPriority w:val="0"/>
    <w:rPr>
      <w:kern w:val="2"/>
      <w:sz w:val="18"/>
      <w:szCs w:val="18"/>
    </w:rPr>
  </w:style>
  <w:style w:type="character" w:customStyle="1" w:styleId="11">
    <w:name w:val="页脚 Char"/>
    <w:basedOn w:val="7"/>
    <w:link w:val="4"/>
    <w:uiPriority w:val="0"/>
    <w:rPr>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329</Words>
  <Characters>1879</Characters>
  <Lines>15</Lines>
  <Paragraphs>4</Paragraphs>
  <TotalTime>81</TotalTime>
  <ScaleCrop>false</ScaleCrop>
  <LinksUpToDate>false</LinksUpToDate>
  <CharactersWithSpaces>2204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2020-03-27T01:59:00Z</dcterms:created>
  <dc:creator>hp</dc:creator>
  <cp:lastModifiedBy>李宇</cp:lastModifiedBy>
  <dcterms:modified xsi:type="dcterms:W3CDTF">2020-03-27T05:42:56Z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